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ED" w:rsidRPr="00877AF4" w:rsidRDefault="00AC6E74" w:rsidP="00F742F6">
      <w:pPr>
        <w:jc w:val="center"/>
        <w:rPr>
          <w:rFonts w:asciiTheme="majorBidi" w:hAnsiTheme="majorBidi" w:cstheme="majorBidi"/>
          <w:b/>
          <w:bCs/>
          <w:sz w:val="28"/>
          <w:szCs w:val="28"/>
          <w:rtl/>
          <w:lang w:bidi="ar-EG"/>
        </w:rPr>
      </w:pPr>
      <w:r w:rsidRPr="00F03E7D">
        <w:rPr>
          <w:rFonts w:asciiTheme="majorBidi" w:hAnsiTheme="majorBidi" w:cstheme="majorBidi"/>
          <w:b/>
          <w:bCs/>
          <w:sz w:val="28"/>
          <w:szCs w:val="28"/>
        </w:rPr>
        <w:t>Acute lymphoblastic leukemia in children</w:t>
      </w:r>
      <w:r w:rsidR="00071DED">
        <w:rPr>
          <w:rFonts w:asciiTheme="majorBidi" w:hAnsiTheme="majorBidi" w:cstheme="majorBidi"/>
          <w:b/>
          <w:bCs/>
          <w:sz w:val="28"/>
          <w:szCs w:val="28"/>
          <w:lang w:bidi="ar-EG"/>
        </w:rPr>
        <w:t xml:space="preserve"> </w:t>
      </w:r>
    </w:p>
    <w:p w:rsidR="00AC6E74" w:rsidRPr="004C795C" w:rsidRDefault="004B52AA" w:rsidP="004B52AA">
      <w:pPr>
        <w:bidi w:val="0"/>
        <w:rPr>
          <w:rFonts w:asciiTheme="majorBidi" w:hAnsiTheme="majorBidi" w:cstheme="majorBidi"/>
          <w:b/>
          <w:bCs/>
          <w:sz w:val="28"/>
          <w:szCs w:val="28"/>
          <w:lang w:bidi="ar-EG"/>
        </w:rPr>
      </w:pPr>
      <w:r w:rsidRPr="004C795C">
        <w:rPr>
          <w:rFonts w:asciiTheme="majorBidi" w:hAnsiTheme="majorBidi" w:cstheme="majorBidi"/>
          <w:b/>
          <w:bCs/>
          <w:sz w:val="28"/>
          <w:szCs w:val="28"/>
        </w:rPr>
        <w:t>1-</w:t>
      </w:r>
      <w:r w:rsidR="00B67F11" w:rsidRPr="004C795C">
        <w:rPr>
          <w:rFonts w:asciiTheme="majorBidi" w:hAnsiTheme="majorBidi" w:cstheme="majorBidi"/>
          <w:b/>
          <w:bCs/>
          <w:sz w:val="28"/>
          <w:szCs w:val="28"/>
        </w:rPr>
        <w:t xml:space="preserve">Normal </w:t>
      </w:r>
      <w:proofErr w:type="spellStart"/>
      <w:r w:rsidR="00B67F11" w:rsidRPr="004C795C">
        <w:rPr>
          <w:rFonts w:asciiTheme="majorBidi" w:hAnsiTheme="majorBidi" w:cstheme="majorBidi"/>
          <w:b/>
          <w:bCs/>
          <w:sz w:val="28"/>
          <w:szCs w:val="28"/>
        </w:rPr>
        <w:t>hematopiosis</w:t>
      </w:r>
      <w:proofErr w:type="spellEnd"/>
      <w:r w:rsidR="00B67F11" w:rsidRPr="004C795C">
        <w:rPr>
          <w:rFonts w:asciiTheme="majorBidi" w:hAnsiTheme="majorBidi" w:cstheme="majorBidi"/>
          <w:b/>
          <w:bCs/>
          <w:sz w:val="28"/>
          <w:szCs w:val="28"/>
        </w:rPr>
        <w:t>:</w:t>
      </w:r>
    </w:p>
    <w:p w:rsidR="00A46F5F" w:rsidRPr="00A46F5F" w:rsidRDefault="00F03E7D" w:rsidP="005604FA">
      <w:pPr>
        <w:bidi w:val="0"/>
        <w:spacing w:line="360" w:lineRule="auto"/>
        <w:jc w:val="lowKashida"/>
        <w:rPr>
          <w:rFonts w:asciiTheme="majorBidi" w:hAnsiTheme="majorBidi" w:cstheme="majorBidi"/>
          <w:sz w:val="28"/>
          <w:szCs w:val="28"/>
          <w:lang w:bidi="ar-EG"/>
        </w:rPr>
      </w:pPr>
      <w:r>
        <w:t xml:space="preserve">    </w:t>
      </w:r>
      <w:r w:rsidR="00C646A2">
        <w:t xml:space="preserve"> </w:t>
      </w:r>
      <w:r>
        <w:t xml:space="preserve"> </w:t>
      </w:r>
      <w:r w:rsidR="00A9026D" w:rsidRPr="00F03E7D">
        <w:rPr>
          <w:rFonts w:asciiTheme="majorBidi" w:hAnsiTheme="majorBidi" w:cstheme="majorBidi"/>
          <w:sz w:val="28"/>
          <w:szCs w:val="28"/>
        </w:rPr>
        <w:t>E</w:t>
      </w:r>
      <w:r w:rsidR="00A9026D">
        <w:rPr>
          <w:rFonts w:asciiTheme="majorBidi" w:hAnsiTheme="majorBidi" w:cstheme="majorBidi"/>
          <w:sz w:val="28"/>
          <w:szCs w:val="28"/>
        </w:rPr>
        <w:t xml:space="preserve">very </w:t>
      </w:r>
      <w:r w:rsidR="00A9026D" w:rsidRPr="00F03E7D">
        <w:rPr>
          <w:rFonts w:asciiTheme="majorBidi" w:hAnsiTheme="majorBidi" w:cstheme="majorBidi"/>
          <w:sz w:val="28"/>
          <w:szCs w:val="28"/>
        </w:rPr>
        <w:t>day</w:t>
      </w:r>
      <w:r w:rsidRPr="00F03E7D">
        <w:rPr>
          <w:rFonts w:asciiTheme="majorBidi" w:hAnsiTheme="majorBidi" w:cstheme="majorBidi"/>
          <w:sz w:val="28"/>
          <w:szCs w:val="28"/>
        </w:rPr>
        <w:t xml:space="preserve"> the human body produces billions of new white blood cells, red blood </w:t>
      </w:r>
      <w:r w:rsidR="00C706A7" w:rsidRPr="00F03E7D">
        <w:rPr>
          <w:rFonts w:asciiTheme="majorBidi" w:hAnsiTheme="majorBidi" w:cstheme="majorBidi"/>
          <w:sz w:val="28"/>
          <w:szCs w:val="28"/>
        </w:rPr>
        <w:t>cells</w:t>
      </w:r>
      <w:r w:rsidR="00C706A7">
        <w:rPr>
          <w:rFonts w:asciiTheme="majorBidi" w:hAnsiTheme="majorBidi" w:cstheme="majorBidi"/>
          <w:sz w:val="28"/>
          <w:szCs w:val="28"/>
        </w:rPr>
        <w:t xml:space="preserve"> </w:t>
      </w:r>
      <w:r w:rsidR="00C706A7" w:rsidRPr="00F03E7D">
        <w:rPr>
          <w:rFonts w:asciiTheme="majorBidi" w:hAnsiTheme="majorBidi" w:cstheme="majorBidi"/>
          <w:sz w:val="28"/>
          <w:szCs w:val="28"/>
        </w:rPr>
        <w:t>and</w:t>
      </w:r>
      <w:r w:rsidRPr="00F03E7D">
        <w:rPr>
          <w:rFonts w:asciiTheme="majorBidi" w:hAnsiTheme="majorBidi" w:cstheme="majorBidi"/>
          <w:sz w:val="28"/>
          <w:szCs w:val="28"/>
        </w:rPr>
        <w:t xml:space="preserve"> platelets to replace blood cells lost</w:t>
      </w:r>
      <w:r w:rsidR="002B01CB">
        <w:rPr>
          <w:rFonts w:asciiTheme="majorBidi" w:hAnsiTheme="majorBidi" w:cstheme="majorBidi"/>
          <w:sz w:val="28"/>
          <w:szCs w:val="28"/>
        </w:rPr>
        <w:t>,</w:t>
      </w:r>
      <w:r w:rsidRPr="00F03E7D">
        <w:rPr>
          <w:rFonts w:asciiTheme="majorBidi" w:hAnsiTheme="majorBidi" w:cstheme="majorBidi"/>
          <w:sz w:val="28"/>
          <w:szCs w:val="28"/>
        </w:rPr>
        <w:t xml:space="preserve"> to normal cell turnover processes as well as to illness or trauma. A variety of </w:t>
      </w:r>
      <w:proofErr w:type="spellStart"/>
      <w:r w:rsidRPr="00F03E7D">
        <w:rPr>
          <w:rFonts w:asciiTheme="majorBidi" w:hAnsiTheme="majorBidi" w:cstheme="majorBidi"/>
          <w:sz w:val="28"/>
          <w:szCs w:val="28"/>
        </w:rPr>
        <w:t>homeosta</w:t>
      </w:r>
      <w:proofErr w:type="spellEnd"/>
      <w:r w:rsidRPr="00F03E7D">
        <w:rPr>
          <w:rFonts w:asciiTheme="majorBidi" w:hAnsiTheme="majorBidi" w:cstheme="majorBidi"/>
          <w:sz w:val="28"/>
          <w:szCs w:val="28"/>
        </w:rPr>
        <w:t xml:space="preserve">-tic mechanisms allow blood cell production to respond quickly to stresses such as bleeding or infection and then return to normal levels when the </w:t>
      </w:r>
      <w:r w:rsidRPr="00A46F5F">
        <w:rPr>
          <w:rFonts w:asciiTheme="majorBidi" w:hAnsiTheme="majorBidi" w:cstheme="majorBidi"/>
          <w:sz w:val="28"/>
          <w:szCs w:val="28"/>
        </w:rPr>
        <w:t>stress is resolved</w:t>
      </w:r>
      <w:r w:rsidR="00A46F5F" w:rsidRPr="00A46F5F">
        <w:rPr>
          <w:rFonts w:asciiTheme="majorBidi" w:hAnsiTheme="majorBidi" w:cstheme="majorBidi"/>
          <w:sz w:val="28"/>
          <w:szCs w:val="28"/>
        </w:rPr>
        <w:t xml:space="preserve"> </w:t>
      </w:r>
      <w:r w:rsidR="00A46F5F" w:rsidRPr="00A46F5F">
        <w:rPr>
          <w:rFonts w:asciiTheme="majorBidi" w:hAnsiTheme="majorBidi" w:cstheme="majorBidi"/>
          <w:b/>
          <w:bCs/>
          <w:i/>
          <w:iCs/>
          <w:sz w:val="28"/>
          <w:szCs w:val="28"/>
        </w:rPr>
        <w:t>(</w:t>
      </w:r>
      <w:r w:rsidRPr="00A46F5F">
        <w:rPr>
          <w:rFonts w:asciiTheme="majorBidi" w:hAnsiTheme="majorBidi" w:cstheme="majorBidi"/>
          <w:b/>
          <w:bCs/>
          <w:i/>
          <w:iCs/>
          <w:sz w:val="28"/>
          <w:szCs w:val="28"/>
        </w:rPr>
        <w:t>Akashi</w:t>
      </w:r>
      <w:r w:rsidR="00A46F5F" w:rsidRPr="00A46F5F">
        <w:rPr>
          <w:rFonts w:asciiTheme="majorBidi" w:hAnsiTheme="majorBidi" w:cstheme="majorBidi"/>
          <w:b/>
          <w:bCs/>
          <w:i/>
          <w:iCs/>
          <w:sz w:val="28"/>
          <w:szCs w:val="28"/>
        </w:rPr>
        <w:t xml:space="preserve"> et al</w:t>
      </w:r>
      <w:r w:rsidR="008B2194">
        <w:rPr>
          <w:rFonts w:asciiTheme="majorBidi" w:hAnsiTheme="majorBidi" w:cstheme="majorBidi"/>
          <w:b/>
          <w:bCs/>
          <w:i/>
          <w:iCs/>
          <w:sz w:val="28"/>
          <w:szCs w:val="28"/>
        </w:rPr>
        <w:t>,.</w:t>
      </w:r>
      <w:r w:rsidR="00A46F5F" w:rsidRPr="00A46F5F">
        <w:rPr>
          <w:rFonts w:asciiTheme="majorBidi" w:hAnsiTheme="majorBidi" w:cstheme="majorBidi"/>
          <w:b/>
          <w:bCs/>
          <w:i/>
          <w:iCs/>
          <w:sz w:val="28"/>
          <w:szCs w:val="28"/>
        </w:rPr>
        <w:t xml:space="preserve"> 2000)</w:t>
      </w:r>
    </w:p>
    <w:p w:rsidR="00A46F5F" w:rsidRDefault="00AC6E74" w:rsidP="00337827">
      <w:pPr>
        <w:bidi w:val="0"/>
        <w:spacing w:line="360" w:lineRule="auto"/>
        <w:jc w:val="lowKashida"/>
        <w:rPr>
          <w:rFonts w:asciiTheme="majorBidi" w:hAnsiTheme="majorBidi" w:cstheme="majorBidi"/>
          <w:sz w:val="28"/>
          <w:szCs w:val="28"/>
          <w:lang w:bidi="ar-EG"/>
        </w:rPr>
      </w:pPr>
      <w:r>
        <w:t xml:space="preserve">     </w:t>
      </w:r>
      <w:r w:rsidR="00C646A2">
        <w:rPr>
          <w:rFonts w:asciiTheme="majorBidi" w:hAnsiTheme="majorBidi" w:cstheme="majorBidi"/>
          <w:sz w:val="28"/>
          <w:szCs w:val="28"/>
        </w:rPr>
        <w:t xml:space="preserve"> </w:t>
      </w:r>
      <w:r w:rsidR="00A46F5F" w:rsidRPr="00A46F5F">
        <w:rPr>
          <w:rFonts w:asciiTheme="majorBidi" w:hAnsiTheme="majorBidi" w:cstheme="majorBidi"/>
          <w:sz w:val="28"/>
          <w:szCs w:val="28"/>
        </w:rPr>
        <w:t>The process of hematopoiesis involves a complex interplay between the intrinsic genetic processes of blood cells and their environment. This interplay determines whether</w:t>
      </w:r>
      <w:r w:rsidR="00275158">
        <w:rPr>
          <w:rFonts w:asciiTheme="majorBidi" w:hAnsiTheme="majorBidi" w:cstheme="majorBidi"/>
          <w:sz w:val="28"/>
          <w:szCs w:val="28"/>
        </w:rPr>
        <w:t xml:space="preserve"> </w:t>
      </w:r>
      <w:hyperlink r:id="rId9" w:tooltip="Hematopoietic stem cell" w:history="1">
        <w:r w:rsidR="00275158" w:rsidRPr="00275158">
          <w:rPr>
            <w:rStyle w:val="Hyperlink"/>
            <w:rFonts w:asciiTheme="majorBidi" w:hAnsiTheme="majorBidi" w:cstheme="majorBidi"/>
            <w:color w:val="auto"/>
            <w:sz w:val="28"/>
            <w:szCs w:val="28"/>
            <w:u w:val="none"/>
            <w:lang w:val="en"/>
          </w:rPr>
          <w:t>Haematopoietic stem cells</w:t>
        </w:r>
      </w:hyperlink>
      <w:r w:rsidR="00A46F5F" w:rsidRPr="00275158">
        <w:rPr>
          <w:rFonts w:asciiTheme="majorBidi" w:hAnsiTheme="majorBidi" w:cstheme="majorBidi"/>
          <w:sz w:val="28"/>
          <w:szCs w:val="28"/>
        </w:rPr>
        <w:t xml:space="preserve"> </w:t>
      </w:r>
      <w:r w:rsidR="00275158">
        <w:rPr>
          <w:rFonts w:asciiTheme="majorBidi" w:hAnsiTheme="majorBidi" w:cstheme="majorBidi"/>
          <w:sz w:val="28"/>
          <w:szCs w:val="28"/>
        </w:rPr>
        <w:t>(</w:t>
      </w:r>
      <w:r w:rsidR="00A46F5F" w:rsidRPr="00A46F5F">
        <w:rPr>
          <w:rFonts w:asciiTheme="majorBidi" w:hAnsiTheme="majorBidi" w:cstheme="majorBidi"/>
          <w:sz w:val="28"/>
          <w:szCs w:val="28"/>
        </w:rPr>
        <w:t>HSCs</w:t>
      </w:r>
      <w:proofErr w:type="gramStart"/>
      <w:r w:rsidR="00275158">
        <w:rPr>
          <w:rFonts w:asciiTheme="majorBidi" w:hAnsiTheme="majorBidi" w:cstheme="majorBidi"/>
          <w:sz w:val="28"/>
          <w:szCs w:val="28"/>
        </w:rPr>
        <w:t xml:space="preserve">) </w:t>
      </w:r>
      <w:r w:rsidR="00A46F5F" w:rsidRPr="00A46F5F">
        <w:rPr>
          <w:rFonts w:asciiTheme="majorBidi" w:hAnsiTheme="majorBidi" w:cstheme="majorBidi"/>
          <w:sz w:val="28"/>
          <w:szCs w:val="28"/>
        </w:rPr>
        <w:t>,</w:t>
      </w:r>
      <w:proofErr w:type="gramEnd"/>
      <w:r w:rsidR="00A46F5F" w:rsidRPr="00A46F5F">
        <w:rPr>
          <w:rFonts w:asciiTheme="majorBidi" w:hAnsiTheme="majorBidi" w:cstheme="majorBidi"/>
          <w:sz w:val="28"/>
          <w:szCs w:val="28"/>
        </w:rPr>
        <w:t xml:space="preserve"> progenitors and mature blood cells remain quiescent, proliferate, differentiate, self-renew or undergo apoptosis</w:t>
      </w:r>
      <w:r w:rsidR="00433234">
        <w:rPr>
          <w:rFonts w:asciiTheme="majorBidi" w:hAnsiTheme="majorBidi" w:cstheme="majorBidi"/>
          <w:sz w:val="28"/>
          <w:szCs w:val="28"/>
        </w:rPr>
        <w:t xml:space="preserve"> </w:t>
      </w:r>
      <w:r w:rsidR="00A46F5F" w:rsidRPr="00A46F5F">
        <w:rPr>
          <w:rFonts w:asciiTheme="majorBidi" w:hAnsiTheme="majorBidi" w:cstheme="majorBidi"/>
          <w:sz w:val="28"/>
          <w:szCs w:val="28"/>
        </w:rPr>
        <w:t>(</w:t>
      </w:r>
      <w:proofErr w:type="spellStart"/>
      <w:r w:rsidR="00A46F5F" w:rsidRPr="00433234">
        <w:rPr>
          <w:rFonts w:asciiTheme="majorBidi" w:hAnsiTheme="majorBidi" w:cstheme="majorBidi"/>
          <w:b/>
          <w:bCs/>
          <w:i/>
          <w:iCs/>
          <w:sz w:val="28"/>
          <w:szCs w:val="28"/>
        </w:rPr>
        <w:t>Orkin</w:t>
      </w:r>
      <w:proofErr w:type="spellEnd"/>
      <w:r w:rsidR="00A46F5F" w:rsidRPr="00433234">
        <w:rPr>
          <w:rFonts w:asciiTheme="majorBidi" w:hAnsiTheme="majorBidi" w:cstheme="majorBidi"/>
          <w:b/>
          <w:bCs/>
          <w:i/>
          <w:iCs/>
          <w:sz w:val="28"/>
          <w:szCs w:val="28"/>
        </w:rPr>
        <w:t xml:space="preserve"> and </w:t>
      </w:r>
      <w:proofErr w:type="spellStart"/>
      <w:r w:rsidR="00A46F5F" w:rsidRPr="00433234">
        <w:rPr>
          <w:rFonts w:asciiTheme="majorBidi" w:hAnsiTheme="majorBidi" w:cstheme="majorBidi"/>
          <w:b/>
          <w:bCs/>
          <w:i/>
          <w:iCs/>
          <w:sz w:val="28"/>
          <w:szCs w:val="28"/>
        </w:rPr>
        <w:t>Zon</w:t>
      </w:r>
      <w:proofErr w:type="spellEnd"/>
      <w:r w:rsidR="00A46F5F" w:rsidRPr="00433234">
        <w:rPr>
          <w:rFonts w:asciiTheme="majorBidi" w:hAnsiTheme="majorBidi" w:cstheme="majorBidi"/>
          <w:b/>
          <w:bCs/>
          <w:i/>
          <w:iCs/>
          <w:sz w:val="28"/>
          <w:szCs w:val="28"/>
        </w:rPr>
        <w:t xml:space="preserve"> , 2000).</w:t>
      </w:r>
    </w:p>
    <w:p w:rsidR="00275158" w:rsidRPr="00275158" w:rsidRDefault="00275158" w:rsidP="00275158">
      <w:pPr>
        <w:bidi w:val="0"/>
        <w:spacing w:line="360" w:lineRule="auto"/>
        <w:jc w:val="lowKashida"/>
        <w:rPr>
          <w:rFonts w:asciiTheme="majorBidi" w:hAnsiTheme="majorBidi" w:cstheme="majorBidi"/>
          <w:b/>
          <w:bCs/>
          <w:sz w:val="28"/>
          <w:szCs w:val="28"/>
          <w:rtl/>
          <w:lang w:val="en" w:bidi="ar-EG"/>
        </w:rPr>
      </w:pPr>
      <w:r>
        <w:rPr>
          <w:rFonts w:asciiTheme="majorBidi" w:hAnsiTheme="majorBidi" w:cstheme="majorBidi"/>
          <w:sz w:val="28"/>
          <w:szCs w:val="28"/>
          <w:lang w:val="en"/>
        </w:rPr>
        <w:t xml:space="preserve">     </w:t>
      </w:r>
      <w:r w:rsidR="00FB4873">
        <w:t xml:space="preserve">  </w:t>
      </w:r>
      <w:hyperlink r:id="rId10" w:tooltip="Hematopoietic stem cell" w:history="1">
        <w:r w:rsidRPr="00275158">
          <w:rPr>
            <w:rStyle w:val="Hyperlink"/>
            <w:rFonts w:asciiTheme="majorBidi" w:hAnsiTheme="majorBidi" w:cstheme="majorBidi"/>
            <w:color w:val="auto"/>
            <w:sz w:val="28"/>
            <w:szCs w:val="28"/>
            <w:u w:val="none"/>
            <w:lang w:val="en"/>
          </w:rPr>
          <w:t>Haematopoietic stem cells</w:t>
        </w:r>
      </w:hyperlink>
      <w:r w:rsidRPr="00275158">
        <w:rPr>
          <w:rFonts w:asciiTheme="majorBidi" w:hAnsiTheme="majorBidi" w:cstheme="majorBidi"/>
          <w:sz w:val="28"/>
          <w:szCs w:val="28"/>
        </w:rPr>
        <w:t xml:space="preserve"> </w:t>
      </w:r>
      <w:r w:rsidRPr="00275158">
        <w:rPr>
          <w:rFonts w:asciiTheme="majorBidi" w:hAnsiTheme="majorBidi" w:cstheme="majorBidi"/>
          <w:sz w:val="28"/>
          <w:szCs w:val="28"/>
          <w:lang w:val="en"/>
        </w:rPr>
        <w:t xml:space="preserve">reside in </w:t>
      </w:r>
      <w:hyperlink r:id="rId11" w:tooltip="Bone marrow" w:history="1">
        <w:r w:rsidRPr="00275158">
          <w:rPr>
            <w:rStyle w:val="Hyperlink"/>
            <w:rFonts w:asciiTheme="majorBidi" w:hAnsiTheme="majorBidi" w:cstheme="majorBidi"/>
            <w:color w:val="auto"/>
            <w:sz w:val="28"/>
            <w:szCs w:val="28"/>
            <w:u w:val="none"/>
            <w:lang w:val="en"/>
          </w:rPr>
          <w:t>bone marrow</w:t>
        </w:r>
      </w:hyperlink>
      <w:r w:rsidRPr="00275158">
        <w:rPr>
          <w:rFonts w:asciiTheme="majorBidi" w:hAnsiTheme="majorBidi" w:cstheme="majorBidi"/>
          <w:sz w:val="28"/>
          <w:szCs w:val="28"/>
          <w:lang w:val="en"/>
        </w:rPr>
        <w:t xml:space="preserve"> and have the unique ability to give rise to all of the different mature blood cell types and tissues. HSCs are self-renewing cells: when they differentiate, at least some of their daughter cells remain as HSCs, so the pool of stem cells is not depleted. The other daughters of HSCs (</w:t>
      </w:r>
      <w:hyperlink r:id="rId12" w:tooltip="Myeloid" w:history="1">
        <w:r w:rsidRPr="00275158">
          <w:rPr>
            <w:rStyle w:val="Hyperlink"/>
            <w:rFonts w:asciiTheme="majorBidi" w:hAnsiTheme="majorBidi" w:cstheme="majorBidi"/>
            <w:color w:val="auto"/>
            <w:sz w:val="28"/>
            <w:szCs w:val="28"/>
            <w:u w:val="none"/>
            <w:lang w:val="en"/>
          </w:rPr>
          <w:t>myeloid</w:t>
        </w:r>
      </w:hyperlink>
      <w:r w:rsidRPr="00275158">
        <w:rPr>
          <w:rFonts w:asciiTheme="majorBidi" w:hAnsiTheme="majorBidi" w:cstheme="majorBidi"/>
          <w:sz w:val="28"/>
          <w:szCs w:val="28"/>
          <w:lang w:val="en"/>
        </w:rPr>
        <w:t xml:space="preserve"> and </w:t>
      </w:r>
      <w:hyperlink r:id="rId13" w:tooltip="Lymphatic system" w:history="1">
        <w:r w:rsidRPr="00275158">
          <w:rPr>
            <w:rStyle w:val="Hyperlink"/>
            <w:rFonts w:asciiTheme="majorBidi" w:hAnsiTheme="majorBidi" w:cstheme="majorBidi"/>
            <w:color w:val="auto"/>
            <w:sz w:val="28"/>
            <w:szCs w:val="28"/>
            <w:u w:val="none"/>
            <w:lang w:val="en"/>
          </w:rPr>
          <w:t>lymphoid</w:t>
        </w:r>
      </w:hyperlink>
      <w:r w:rsidRPr="00275158">
        <w:rPr>
          <w:rFonts w:asciiTheme="majorBidi" w:hAnsiTheme="majorBidi" w:cstheme="majorBidi"/>
          <w:sz w:val="28"/>
          <w:szCs w:val="28"/>
          <w:lang w:val="en"/>
        </w:rPr>
        <w:t xml:space="preserve"> progenitor cells) can follow any of the other differentiation pathways that lead to the production of one or more specific types of blood ce</w:t>
      </w:r>
      <w:r>
        <w:rPr>
          <w:rFonts w:asciiTheme="majorBidi" w:hAnsiTheme="majorBidi" w:cstheme="majorBidi"/>
          <w:sz w:val="28"/>
          <w:szCs w:val="28"/>
          <w:lang w:val="en"/>
        </w:rPr>
        <w:t xml:space="preserve">ll, but cannot renew themselves </w:t>
      </w:r>
      <w:r w:rsidRPr="00275158">
        <w:rPr>
          <w:rFonts w:asciiTheme="majorBidi" w:hAnsiTheme="majorBidi" w:cstheme="majorBidi"/>
          <w:b/>
          <w:bCs/>
          <w:sz w:val="28"/>
          <w:szCs w:val="28"/>
          <w:lang w:val="en"/>
        </w:rPr>
        <w:t>(</w:t>
      </w:r>
      <w:r w:rsidRPr="00275158">
        <w:rPr>
          <w:rStyle w:val="HTMLCite"/>
          <w:rFonts w:asciiTheme="majorBidi" w:hAnsiTheme="majorBidi" w:cstheme="majorBidi"/>
          <w:b/>
          <w:bCs/>
          <w:sz w:val="28"/>
          <w:szCs w:val="28"/>
          <w:lang w:val="en"/>
        </w:rPr>
        <w:t>Morrison and Kimble, 2006</w:t>
      </w:r>
      <w:r w:rsidRPr="00275158">
        <w:rPr>
          <w:rFonts w:asciiTheme="majorBidi" w:hAnsiTheme="majorBidi" w:cstheme="majorBidi"/>
          <w:b/>
          <w:bCs/>
          <w:sz w:val="28"/>
          <w:szCs w:val="28"/>
          <w:lang w:val="en" w:bidi="ar-EG"/>
        </w:rPr>
        <w:t>).</w:t>
      </w:r>
    </w:p>
    <w:p w:rsidR="002655BF" w:rsidRPr="002B01CB" w:rsidRDefault="002655BF" w:rsidP="00337827">
      <w:pPr>
        <w:bidi w:val="0"/>
        <w:spacing w:line="360" w:lineRule="auto"/>
        <w:jc w:val="lowKashida"/>
        <w:rPr>
          <w:rFonts w:asciiTheme="majorBidi" w:hAnsiTheme="majorBidi" w:cstheme="majorBidi"/>
          <w:sz w:val="28"/>
          <w:szCs w:val="28"/>
          <w:rtl/>
        </w:rPr>
      </w:pPr>
      <w:r>
        <w:t xml:space="preserve">   </w:t>
      </w:r>
      <w:r>
        <w:rPr>
          <w:rFonts w:asciiTheme="majorBidi" w:hAnsiTheme="majorBidi" w:cstheme="majorBidi"/>
          <w:sz w:val="28"/>
          <w:szCs w:val="28"/>
        </w:rPr>
        <w:t xml:space="preserve">  </w:t>
      </w:r>
      <w:r w:rsidRPr="002655BF">
        <w:rPr>
          <w:rFonts w:asciiTheme="majorBidi" w:hAnsiTheme="majorBidi" w:cstheme="majorBidi"/>
          <w:sz w:val="28"/>
          <w:szCs w:val="28"/>
        </w:rPr>
        <w:t>The best characterized environmental regulators of hematopoiesis are cytokines. In general, cytokines function by engaging a specific receptor and activating a variety of signaling pathways. This includes activation of a tyrosine kinases such as focal adhesion kinase, pp60src, c-</w:t>
      </w:r>
      <w:proofErr w:type="spellStart"/>
      <w:r w:rsidRPr="002655BF">
        <w:rPr>
          <w:rFonts w:asciiTheme="majorBidi" w:hAnsiTheme="majorBidi" w:cstheme="majorBidi"/>
          <w:sz w:val="28"/>
          <w:szCs w:val="28"/>
        </w:rPr>
        <w:t>Abl</w:t>
      </w:r>
      <w:proofErr w:type="spellEnd"/>
      <w:r w:rsidRPr="002655BF">
        <w:rPr>
          <w:rFonts w:asciiTheme="majorBidi" w:hAnsiTheme="majorBidi" w:cstheme="majorBidi"/>
          <w:sz w:val="28"/>
          <w:szCs w:val="28"/>
        </w:rPr>
        <w:t xml:space="preserve">, MAP kinases, </w:t>
      </w:r>
      <w:proofErr w:type="spellStart"/>
      <w:r w:rsidRPr="002655BF">
        <w:rPr>
          <w:rFonts w:asciiTheme="majorBidi" w:hAnsiTheme="majorBidi" w:cstheme="majorBidi"/>
          <w:sz w:val="28"/>
          <w:szCs w:val="28"/>
        </w:rPr>
        <w:t>jun</w:t>
      </w:r>
      <w:proofErr w:type="spellEnd"/>
      <w:r w:rsidRPr="002655BF">
        <w:rPr>
          <w:rFonts w:asciiTheme="majorBidi" w:hAnsiTheme="majorBidi" w:cstheme="majorBidi"/>
          <w:sz w:val="28"/>
          <w:szCs w:val="28"/>
        </w:rPr>
        <w:t xml:space="preserve"> Kinase (JNK) and protein kinase C (PKC)</w:t>
      </w:r>
      <w:r w:rsidR="002B01CB">
        <w:rPr>
          <w:rFonts w:asciiTheme="majorBidi" w:hAnsiTheme="majorBidi" w:cstheme="majorBidi"/>
          <w:sz w:val="28"/>
          <w:szCs w:val="28"/>
        </w:rPr>
        <w:t xml:space="preserve"> </w:t>
      </w:r>
      <w:r w:rsidRPr="002655BF">
        <w:rPr>
          <w:rFonts w:asciiTheme="majorBidi" w:hAnsiTheme="majorBidi" w:cstheme="majorBidi"/>
          <w:b/>
          <w:bCs/>
          <w:i/>
          <w:iCs/>
          <w:sz w:val="28"/>
          <w:szCs w:val="28"/>
        </w:rPr>
        <w:t>(</w:t>
      </w:r>
      <w:proofErr w:type="spellStart"/>
      <w:r w:rsidRPr="002655BF">
        <w:rPr>
          <w:rFonts w:asciiTheme="majorBidi" w:hAnsiTheme="majorBidi" w:cstheme="majorBidi"/>
          <w:b/>
          <w:bCs/>
          <w:i/>
          <w:iCs/>
          <w:sz w:val="28"/>
          <w:szCs w:val="28"/>
        </w:rPr>
        <w:t>Rane</w:t>
      </w:r>
      <w:proofErr w:type="spellEnd"/>
      <w:r w:rsidRPr="002655BF">
        <w:rPr>
          <w:rFonts w:asciiTheme="majorBidi" w:hAnsiTheme="majorBidi" w:cstheme="majorBidi"/>
          <w:b/>
          <w:bCs/>
          <w:i/>
          <w:iCs/>
          <w:sz w:val="28"/>
          <w:szCs w:val="28"/>
        </w:rPr>
        <w:t xml:space="preserve"> </w:t>
      </w:r>
      <w:proofErr w:type="gramStart"/>
      <w:r w:rsidRPr="002655BF">
        <w:rPr>
          <w:rFonts w:asciiTheme="majorBidi" w:hAnsiTheme="majorBidi" w:cstheme="majorBidi"/>
          <w:b/>
          <w:bCs/>
          <w:i/>
          <w:iCs/>
          <w:sz w:val="28"/>
          <w:szCs w:val="28"/>
        </w:rPr>
        <w:t>and  Reddy</w:t>
      </w:r>
      <w:proofErr w:type="gramEnd"/>
      <w:r w:rsidRPr="002655BF">
        <w:rPr>
          <w:rFonts w:asciiTheme="majorBidi" w:hAnsiTheme="majorBidi" w:cstheme="majorBidi"/>
          <w:b/>
          <w:bCs/>
          <w:i/>
          <w:iCs/>
          <w:sz w:val="28"/>
          <w:szCs w:val="28"/>
        </w:rPr>
        <w:t>,</w:t>
      </w:r>
      <w:r w:rsidR="00330061">
        <w:rPr>
          <w:rFonts w:asciiTheme="majorBidi" w:hAnsiTheme="majorBidi" w:cstheme="majorBidi"/>
          <w:b/>
          <w:bCs/>
          <w:i/>
          <w:iCs/>
          <w:sz w:val="28"/>
          <w:szCs w:val="28"/>
        </w:rPr>
        <w:t xml:space="preserve"> </w:t>
      </w:r>
      <w:r w:rsidRPr="002655BF">
        <w:rPr>
          <w:rFonts w:asciiTheme="majorBidi" w:hAnsiTheme="majorBidi" w:cstheme="majorBidi"/>
          <w:b/>
          <w:bCs/>
          <w:i/>
          <w:iCs/>
          <w:sz w:val="28"/>
          <w:szCs w:val="28"/>
        </w:rPr>
        <w:t>2002)</w:t>
      </w:r>
      <w:r w:rsidRPr="002655BF">
        <w:rPr>
          <w:rFonts w:asciiTheme="majorBidi" w:hAnsiTheme="majorBidi" w:cstheme="majorBidi"/>
          <w:b/>
          <w:bCs/>
          <w:i/>
          <w:iCs/>
          <w:sz w:val="28"/>
          <w:szCs w:val="28"/>
          <w:lang w:bidi="ar-EG"/>
        </w:rPr>
        <w:t>.</w:t>
      </w:r>
    </w:p>
    <w:p w:rsidR="00A46F5F" w:rsidRPr="002655BF" w:rsidRDefault="002B01CB" w:rsidP="0090235E">
      <w:pPr>
        <w:bidi w:val="0"/>
        <w:spacing w:line="360" w:lineRule="auto"/>
        <w:jc w:val="lowKashida"/>
        <w:rPr>
          <w:rFonts w:asciiTheme="majorBidi" w:hAnsiTheme="majorBidi" w:cstheme="majorBidi"/>
          <w:sz w:val="28"/>
          <w:szCs w:val="28"/>
          <w:rtl/>
          <w:lang w:bidi="ar-EG"/>
        </w:rPr>
      </w:pPr>
      <w:r>
        <w:rPr>
          <w:rFonts w:asciiTheme="majorBidi" w:hAnsiTheme="majorBidi" w:cstheme="majorBidi"/>
          <w:sz w:val="28"/>
          <w:szCs w:val="28"/>
        </w:rPr>
        <w:lastRenderedPageBreak/>
        <w:t xml:space="preserve">    </w:t>
      </w:r>
      <w:r w:rsidR="0044052B">
        <w:rPr>
          <w:rFonts w:asciiTheme="majorBidi" w:hAnsiTheme="majorBidi" w:cstheme="majorBidi"/>
          <w:sz w:val="28"/>
          <w:szCs w:val="28"/>
        </w:rPr>
        <w:t xml:space="preserve"> </w:t>
      </w:r>
      <w:r w:rsidR="002655BF" w:rsidRPr="002655BF">
        <w:rPr>
          <w:rFonts w:asciiTheme="majorBidi" w:hAnsiTheme="majorBidi" w:cstheme="majorBidi"/>
          <w:sz w:val="28"/>
          <w:szCs w:val="28"/>
        </w:rPr>
        <w:t>Mediators of cell growth and differentiation such as c-</w:t>
      </w:r>
      <w:proofErr w:type="spellStart"/>
      <w:r w:rsidR="002655BF" w:rsidRPr="002655BF">
        <w:rPr>
          <w:rFonts w:asciiTheme="majorBidi" w:hAnsiTheme="majorBidi" w:cstheme="majorBidi"/>
          <w:sz w:val="28"/>
          <w:szCs w:val="28"/>
        </w:rPr>
        <w:t>src</w:t>
      </w:r>
      <w:proofErr w:type="spellEnd"/>
      <w:r w:rsidR="002655BF" w:rsidRPr="002655BF">
        <w:rPr>
          <w:rFonts w:asciiTheme="majorBidi" w:hAnsiTheme="majorBidi" w:cstheme="majorBidi"/>
          <w:sz w:val="28"/>
          <w:szCs w:val="28"/>
        </w:rPr>
        <w:t xml:space="preserve">, </w:t>
      </w:r>
      <w:proofErr w:type="spellStart"/>
      <w:r w:rsidR="002655BF" w:rsidRPr="002655BF">
        <w:rPr>
          <w:rFonts w:asciiTheme="majorBidi" w:hAnsiTheme="majorBidi" w:cstheme="majorBidi"/>
          <w:sz w:val="28"/>
          <w:szCs w:val="28"/>
        </w:rPr>
        <w:t>phosphoinositides</w:t>
      </w:r>
      <w:proofErr w:type="spellEnd"/>
      <w:r w:rsidR="002655BF" w:rsidRPr="002655BF">
        <w:rPr>
          <w:rFonts w:asciiTheme="majorBidi" w:hAnsiTheme="majorBidi" w:cstheme="majorBidi"/>
          <w:sz w:val="28"/>
          <w:szCs w:val="28"/>
        </w:rPr>
        <w:t xml:space="preserve">, protein kinase </w:t>
      </w:r>
      <w:proofErr w:type="gramStart"/>
      <w:r w:rsidR="002655BF" w:rsidRPr="002655BF">
        <w:rPr>
          <w:rFonts w:asciiTheme="majorBidi" w:hAnsiTheme="majorBidi" w:cstheme="majorBidi"/>
          <w:sz w:val="28"/>
          <w:szCs w:val="28"/>
        </w:rPr>
        <w:t>C</w:t>
      </w:r>
      <w:r>
        <w:rPr>
          <w:rFonts w:asciiTheme="majorBidi" w:hAnsiTheme="majorBidi" w:cstheme="majorBidi"/>
          <w:sz w:val="28"/>
          <w:szCs w:val="28"/>
        </w:rPr>
        <w:t xml:space="preserve"> </w:t>
      </w:r>
      <w:r w:rsidR="002655BF" w:rsidRPr="002655BF">
        <w:rPr>
          <w:rFonts w:asciiTheme="majorBidi" w:hAnsiTheme="majorBidi" w:cstheme="majorBidi"/>
          <w:sz w:val="28"/>
          <w:szCs w:val="28"/>
        </w:rPr>
        <w:t xml:space="preserve"> and</w:t>
      </w:r>
      <w:proofErr w:type="gramEnd"/>
      <w:r w:rsidR="002655BF" w:rsidRPr="002655BF">
        <w:rPr>
          <w:rFonts w:asciiTheme="majorBidi" w:hAnsiTheme="majorBidi" w:cstheme="majorBidi"/>
          <w:sz w:val="28"/>
          <w:szCs w:val="28"/>
        </w:rPr>
        <w:t xml:space="preserve"> growth factor-mediated signaling pathways are also modulated by cytokines. Cytokines including interleukin-3 and GM-CSF induce cell proliferation, while other </w:t>
      </w:r>
      <w:r w:rsidR="0090235E">
        <w:rPr>
          <w:rFonts w:asciiTheme="majorBidi" w:hAnsiTheme="majorBidi" w:cstheme="majorBidi"/>
          <w:sz w:val="28"/>
          <w:szCs w:val="28"/>
        </w:rPr>
        <w:t>such as</w:t>
      </w:r>
      <w:r w:rsidR="002655BF" w:rsidRPr="002655BF">
        <w:rPr>
          <w:rFonts w:asciiTheme="majorBidi" w:hAnsiTheme="majorBidi" w:cstheme="majorBidi"/>
          <w:sz w:val="28"/>
          <w:szCs w:val="28"/>
        </w:rPr>
        <w:t xml:space="preserve"> flt-3 ligand and kit liga</w:t>
      </w:r>
      <w:r w:rsidR="002655BF">
        <w:rPr>
          <w:rFonts w:asciiTheme="majorBidi" w:hAnsiTheme="majorBidi" w:cstheme="majorBidi"/>
          <w:sz w:val="28"/>
          <w:szCs w:val="28"/>
        </w:rPr>
        <w:t xml:space="preserve">nd protect cells from apoptosis </w:t>
      </w:r>
      <w:r w:rsidR="002655BF" w:rsidRPr="002655BF">
        <w:rPr>
          <w:rFonts w:asciiTheme="majorBidi" w:hAnsiTheme="majorBidi" w:cstheme="majorBidi"/>
          <w:sz w:val="28"/>
          <w:szCs w:val="28"/>
        </w:rPr>
        <w:t>and sensitize them to the effects of growth promoting cytokines</w:t>
      </w:r>
      <w:r w:rsidR="002655BF">
        <w:rPr>
          <w:rFonts w:asciiTheme="majorBidi" w:hAnsiTheme="majorBidi" w:cstheme="majorBidi"/>
          <w:sz w:val="28"/>
          <w:szCs w:val="28"/>
        </w:rPr>
        <w:t xml:space="preserve"> </w:t>
      </w:r>
      <w:r w:rsidR="002655BF" w:rsidRPr="0044052B">
        <w:rPr>
          <w:rFonts w:asciiTheme="majorBidi" w:hAnsiTheme="majorBidi" w:cstheme="majorBidi"/>
          <w:b/>
          <w:bCs/>
          <w:i/>
          <w:iCs/>
          <w:sz w:val="28"/>
          <w:szCs w:val="28"/>
        </w:rPr>
        <w:t>(Crooks et al</w:t>
      </w:r>
      <w:r w:rsidR="0044052B" w:rsidRPr="0044052B">
        <w:rPr>
          <w:rFonts w:asciiTheme="majorBidi" w:hAnsiTheme="majorBidi" w:cstheme="majorBidi"/>
          <w:b/>
          <w:bCs/>
          <w:i/>
          <w:iCs/>
          <w:sz w:val="28"/>
          <w:szCs w:val="28"/>
        </w:rPr>
        <w:t>; 2000)</w:t>
      </w:r>
    </w:p>
    <w:p w:rsidR="00B26852" w:rsidRDefault="0044052B" w:rsidP="002A3CE2">
      <w:pPr>
        <w:spacing w:line="360" w:lineRule="auto"/>
        <w:jc w:val="right"/>
        <w:rPr>
          <w:rFonts w:asciiTheme="majorBidi" w:hAnsiTheme="majorBidi" w:cstheme="majorBidi"/>
          <w:sz w:val="28"/>
          <w:szCs w:val="28"/>
        </w:rPr>
      </w:pPr>
      <w:r>
        <w:t xml:space="preserve">    </w:t>
      </w:r>
      <w:r w:rsidRPr="002B01CB">
        <w:rPr>
          <w:rFonts w:asciiTheme="majorBidi" w:hAnsiTheme="majorBidi" w:cstheme="majorBidi"/>
          <w:sz w:val="28"/>
          <w:szCs w:val="28"/>
        </w:rPr>
        <w:t>Cytokines may also facilitate the interactions between stem cells and elements in the microenvironment including extrac</w:t>
      </w:r>
      <w:r w:rsidR="002B01CB" w:rsidRPr="002B01CB">
        <w:rPr>
          <w:rFonts w:asciiTheme="majorBidi" w:hAnsiTheme="majorBidi" w:cstheme="majorBidi"/>
          <w:sz w:val="28"/>
          <w:szCs w:val="28"/>
        </w:rPr>
        <w:t xml:space="preserve">ellular matrix (ECM) components </w:t>
      </w:r>
      <w:r w:rsidR="002B01CB" w:rsidRPr="002B01CB">
        <w:rPr>
          <w:rFonts w:asciiTheme="majorBidi" w:hAnsiTheme="majorBidi" w:cstheme="majorBidi"/>
          <w:b/>
          <w:bCs/>
          <w:i/>
          <w:iCs/>
          <w:sz w:val="28"/>
          <w:szCs w:val="28"/>
        </w:rPr>
        <w:t>(</w:t>
      </w:r>
      <w:proofErr w:type="spellStart"/>
      <w:r w:rsidR="002B01CB" w:rsidRPr="002B01CB">
        <w:rPr>
          <w:rFonts w:asciiTheme="majorBidi" w:hAnsiTheme="majorBidi" w:cstheme="majorBidi"/>
          <w:b/>
          <w:bCs/>
          <w:i/>
          <w:iCs/>
          <w:sz w:val="28"/>
          <w:szCs w:val="28"/>
        </w:rPr>
        <w:t>Kinashi</w:t>
      </w:r>
      <w:proofErr w:type="spellEnd"/>
      <w:r w:rsidR="002B01CB" w:rsidRPr="002B01CB">
        <w:rPr>
          <w:rFonts w:asciiTheme="majorBidi" w:hAnsiTheme="majorBidi" w:cstheme="majorBidi"/>
          <w:b/>
          <w:bCs/>
          <w:i/>
          <w:iCs/>
          <w:sz w:val="28"/>
          <w:szCs w:val="28"/>
        </w:rPr>
        <w:t xml:space="preserve"> and Springer, 1994).</w:t>
      </w:r>
      <w:r w:rsidRPr="002B01CB">
        <w:rPr>
          <w:rFonts w:asciiTheme="majorBidi" w:hAnsiTheme="majorBidi" w:cstheme="majorBidi"/>
          <w:sz w:val="28"/>
          <w:szCs w:val="28"/>
        </w:rPr>
        <w:t xml:space="preserve"> </w:t>
      </w:r>
    </w:p>
    <w:p w:rsidR="00337827" w:rsidRDefault="00B26852" w:rsidP="0090235E">
      <w:pPr>
        <w:bidi w:val="0"/>
        <w:spacing w:line="360" w:lineRule="auto"/>
        <w:jc w:val="lowKashida"/>
        <w:rPr>
          <w:b/>
          <w:bCs/>
        </w:rPr>
      </w:pPr>
      <w:r>
        <w:rPr>
          <w:rFonts w:asciiTheme="majorBidi" w:hAnsiTheme="majorBidi" w:cstheme="majorBidi"/>
          <w:sz w:val="28"/>
          <w:szCs w:val="28"/>
        </w:rPr>
        <w:t xml:space="preserve">     </w:t>
      </w:r>
      <w:r w:rsidR="0044052B" w:rsidRPr="002B01CB">
        <w:rPr>
          <w:rFonts w:asciiTheme="majorBidi" w:hAnsiTheme="majorBidi" w:cstheme="majorBidi"/>
          <w:sz w:val="28"/>
          <w:szCs w:val="28"/>
        </w:rPr>
        <w:t>Regulators of HSCs including transforming growth factor</w:t>
      </w:r>
      <w:r>
        <w:rPr>
          <w:rFonts w:asciiTheme="majorBidi" w:hAnsiTheme="majorBidi" w:cstheme="majorBidi"/>
          <w:sz w:val="28"/>
          <w:szCs w:val="28"/>
        </w:rPr>
        <w:t>-beta (TGF-β</w:t>
      </w:r>
      <w:proofErr w:type="gramStart"/>
      <w:r>
        <w:rPr>
          <w:rFonts w:asciiTheme="majorBidi" w:hAnsiTheme="majorBidi" w:cstheme="majorBidi"/>
          <w:sz w:val="28"/>
          <w:szCs w:val="28"/>
        </w:rPr>
        <w:t>) ,</w:t>
      </w:r>
      <w:proofErr w:type="gramEnd"/>
      <w:r w:rsidR="0044052B" w:rsidRPr="002B01CB">
        <w:rPr>
          <w:rFonts w:asciiTheme="majorBidi" w:hAnsiTheme="majorBidi" w:cstheme="majorBidi"/>
          <w:sz w:val="28"/>
          <w:szCs w:val="28"/>
        </w:rPr>
        <w:t xml:space="preserve"> tumor necrosis factor-alpha (TNF-α)</w:t>
      </w:r>
      <w:r>
        <w:rPr>
          <w:rFonts w:asciiTheme="majorBidi" w:hAnsiTheme="majorBidi" w:cstheme="majorBidi"/>
          <w:sz w:val="28"/>
          <w:szCs w:val="28"/>
        </w:rPr>
        <w:t>,</w:t>
      </w:r>
      <w:r w:rsidRPr="00B26852">
        <w:rPr>
          <w:rFonts w:asciiTheme="majorBidi" w:hAnsiTheme="majorBidi" w:cstheme="majorBidi"/>
          <w:sz w:val="28"/>
          <w:szCs w:val="28"/>
        </w:rPr>
        <w:t xml:space="preserve"> </w:t>
      </w:r>
      <w:proofErr w:type="spellStart"/>
      <w:r w:rsidRPr="00B26852">
        <w:rPr>
          <w:rFonts w:asciiTheme="majorBidi" w:hAnsiTheme="majorBidi" w:cstheme="majorBidi"/>
          <w:sz w:val="28"/>
          <w:szCs w:val="28"/>
        </w:rPr>
        <w:t>Wnt</w:t>
      </w:r>
      <w:proofErr w:type="spellEnd"/>
      <w:r w:rsidRPr="00B26852">
        <w:rPr>
          <w:rFonts w:asciiTheme="majorBidi" w:hAnsiTheme="majorBidi" w:cstheme="majorBidi"/>
          <w:sz w:val="28"/>
          <w:szCs w:val="28"/>
        </w:rPr>
        <w:t xml:space="preserve"> and the notch ligand family</w:t>
      </w:r>
      <w:r>
        <w:rPr>
          <w:rFonts w:asciiTheme="majorBidi" w:hAnsiTheme="majorBidi" w:cstheme="majorBidi"/>
          <w:sz w:val="28"/>
          <w:szCs w:val="28"/>
        </w:rPr>
        <w:t xml:space="preserve"> </w:t>
      </w:r>
      <w:r w:rsidR="0044052B" w:rsidRPr="002B01CB">
        <w:rPr>
          <w:rFonts w:asciiTheme="majorBidi" w:hAnsiTheme="majorBidi" w:cstheme="majorBidi"/>
          <w:sz w:val="28"/>
          <w:szCs w:val="28"/>
        </w:rPr>
        <w:t xml:space="preserve"> modulate cell cycle activity and </w:t>
      </w:r>
      <w:r w:rsidR="0044052B" w:rsidRPr="00B26852">
        <w:rPr>
          <w:rFonts w:asciiTheme="majorBidi" w:hAnsiTheme="majorBidi" w:cstheme="majorBidi"/>
          <w:sz w:val="28"/>
          <w:szCs w:val="28"/>
        </w:rPr>
        <w:t>engraftment</w:t>
      </w:r>
      <w:r>
        <w:rPr>
          <w:rFonts w:asciiTheme="majorBidi" w:hAnsiTheme="majorBidi" w:cstheme="majorBidi"/>
          <w:sz w:val="28"/>
          <w:szCs w:val="28"/>
        </w:rPr>
        <w:t>.</w:t>
      </w:r>
      <w:r w:rsidRPr="00B26852">
        <w:rPr>
          <w:rFonts w:asciiTheme="majorBidi" w:hAnsiTheme="majorBidi" w:cstheme="majorBidi"/>
          <w:sz w:val="28"/>
          <w:szCs w:val="28"/>
        </w:rPr>
        <w:t xml:space="preserve"> TNF-α may </w:t>
      </w:r>
      <w:r w:rsidR="0090235E">
        <w:rPr>
          <w:rFonts w:asciiTheme="majorBidi" w:hAnsiTheme="majorBidi" w:cstheme="majorBidi"/>
          <w:sz w:val="28"/>
          <w:szCs w:val="28"/>
        </w:rPr>
        <w:t xml:space="preserve">act as </w:t>
      </w:r>
      <w:r w:rsidRPr="00B26852">
        <w:rPr>
          <w:rFonts w:asciiTheme="majorBidi" w:hAnsiTheme="majorBidi" w:cstheme="majorBidi"/>
          <w:sz w:val="28"/>
          <w:szCs w:val="28"/>
        </w:rPr>
        <w:t xml:space="preserve">inhibitor or </w:t>
      </w:r>
      <w:proofErr w:type="gramStart"/>
      <w:r w:rsidRPr="00B26852">
        <w:rPr>
          <w:rFonts w:asciiTheme="majorBidi" w:hAnsiTheme="majorBidi" w:cstheme="majorBidi"/>
          <w:sz w:val="28"/>
          <w:szCs w:val="28"/>
        </w:rPr>
        <w:t>activat</w:t>
      </w:r>
      <w:r w:rsidR="0090235E">
        <w:rPr>
          <w:rFonts w:asciiTheme="majorBidi" w:hAnsiTheme="majorBidi" w:cstheme="majorBidi"/>
          <w:sz w:val="28"/>
          <w:szCs w:val="28"/>
        </w:rPr>
        <w:t xml:space="preserve">or </w:t>
      </w:r>
      <w:r w:rsidRPr="00B26852">
        <w:rPr>
          <w:rFonts w:asciiTheme="majorBidi" w:hAnsiTheme="majorBidi" w:cstheme="majorBidi"/>
          <w:sz w:val="28"/>
          <w:szCs w:val="28"/>
        </w:rPr>
        <w:t xml:space="preserve"> depending</w:t>
      </w:r>
      <w:proofErr w:type="gramEnd"/>
      <w:r w:rsidRPr="00B26852">
        <w:rPr>
          <w:rFonts w:asciiTheme="majorBidi" w:hAnsiTheme="majorBidi" w:cstheme="majorBidi"/>
          <w:sz w:val="28"/>
          <w:szCs w:val="28"/>
        </w:rPr>
        <w:t xml:space="preserve"> on </w:t>
      </w:r>
      <w:r w:rsidR="0090235E">
        <w:rPr>
          <w:rFonts w:asciiTheme="majorBidi" w:hAnsiTheme="majorBidi" w:cstheme="majorBidi"/>
          <w:sz w:val="28"/>
          <w:szCs w:val="28"/>
        </w:rPr>
        <w:t>its</w:t>
      </w:r>
      <w:r w:rsidRPr="00B26852">
        <w:rPr>
          <w:rFonts w:asciiTheme="majorBidi" w:hAnsiTheme="majorBidi" w:cstheme="majorBidi"/>
          <w:sz w:val="28"/>
          <w:szCs w:val="28"/>
        </w:rPr>
        <w:t xml:space="preserve"> concentration and other ongoing physiologic processes</w:t>
      </w:r>
      <w:r>
        <w:rPr>
          <w:rFonts w:asciiTheme="majorBidi" w:hAnsiTheme="majorBidi" w:cstheme="majorBidi"/>
          <w:sz w:val="28"/>
          <w:szCs w:val="28"/>
        </w:rPr>
        <w:t xml:space="preserve"> </w:t>
      </w:r>
      <w:r w:rsidR="0044052B" w:rsidRPr="00B26852">
        <w:rPr>
          <w:rFonts w:asciiTheme="majorBidi" w:hAnsiTheme="majorBidi" w:cstheme="majorBidi"/>
          <w:b/>
          <w:bCs/>
          <w:i/>
          <w:iCs/>
          <w:sz w:val="28"/>
          <w:szCs w:val="28"/>
        </w:rPr>
        <w:t>(</w:t>
      </w:r>
      <w:r w:rsidRPr="00B26852">
        <w:rPr>
          <w:rFonts w:asciiTheme="majorBidi" w:hAnsiTheme="majorBidi" w:cstheme="majorBidi"/>
          <w:b/>
          <w:bCs/>
          <w:i/>
          <w:iCs/>
          <w:sz w:val="28"/>
          <w:szCs w:val="28"/>
        </w:rPr>
        <w:t xml:space="preserve"> Lyman and Jacobsen , </w:t>
      </w:r>
      <w:r w:rsidR="002B01CB" w:rsidRPr="00B26852">
        <w:rPr>
          <w:rFonts w:asciiTheme="majorBidi" w:hAnsiTheme="majorBidi" w:cstheme="majorBidi"/>
          <w:b/>
          <w:bCs/>
          <w:i/>
          <w:iCs/>
          <w:sz w:val="28"/>
          <w:szCs w:val="28"/>
        </w:rPr>
        <w:t>199</w:t>
      </w:r>
      <w:r w:rsidRPr="00B26852">
        <w:rPr>
          <w:rFonts w:asciiTheme="majorBidi" w:hAnsiTheme="majorBidi" w:cstheme="majorBidi"/>
          <w:b/>
          <w:bCs/>
          <w:i/>
          <w:iCs/>
          <w:sz w:val="28"/>
          <w:szCs w:val="28"/>
        </w:rPr>
        <w:t>8</w:t>
      </w:r>
      <w:r w:rsidR="002B01CB" w:rsidRPr="00B26852">
        <w:rPr>
          <w:rFonts w:asciiTheme="majorBidi" w:hAnsiTheme="majorBidi" w:cstheme="majorBidi"/>
          <w:b/>
          <w:bCs/>
          <w:i/>
          <w:iCs/>
          <w:sz w:val="28"/>
          <w:szCs w:val="28"/>
        </w:rPr>
        <w:t>)</w:t>
      </w:r>
      <w:r w:rsidR="00337827">
        <w:rPr>
          <w:b/>
          <w:bCs/>
        </w:rPr>
        <w:t>.</w:t>
      </w:r>
    </w:p>
    <w:p w:rsidR="002A3CE2" w:rsidRPr="00EA3E1C" w:rsidRDefault="00337827" w:rsidP="00EA3E1C">
      <w:pPr>
        <w:bidi w:val="0"/>
        <w:spacing w:line="360" w:lineRule="auto"/>
        <w:jc w:val="lowKashida"/>
        <w:rPr>
          <w:b/>
          <w:bCs/>
          <w:lang w:bidi="ar-EG"/>
        </w:rPr>
      </w:pPr>
      <w:r>
        <w:rPr>
          <w:b/>
          <w:bCs/>
        </w:rPr>
        <w:t xml:space="preserve">       </w:t>
      </w:r>
      <w:proofErr w:type="spellStart"/>
      <w:r w:rsidR="008F3215">
        <w:rPr>
          <w:rFonts w:asciiTheme="majorBidi" w:hAnsiTheme="majorBidi" w:cstheme="majorBidi"/>
          <w:sz w:val="28"/>
          <w:szCs w:val="28"/>
        </w:rPr>
        <w:t>A</w:t>
      </w:r>
      <w:r w:rsidR="008F3215" w:rsidRPr="008F3215">
        <w:rPr>
          <w:rFonts w:asciiTheme="majorBidi" w:hAnsiTheme="majorBidi" w:cstheme="majorBidi"/>
          <w:sz w:val="28"/>
          <w:szCs w:val="28"/>
        </w:rPr>
        <w:t>number</w:t>
      </w:r>
      <w:proofErr w:type="spellEnd"/>
      <w:r w:rsidR="008F3215" w:rsidRPr="008F3215">
        <w:rPr>
          <w:rFonts w:asciiTheme="majorBidi" w:hAnsiTheme="majorBidi" w:cstheme="majorBidi"/>
          <w:sz w:val="28"/>
          <w:szCs w:val="28"/>
        </w:rPr>
        <w:t xml:space="preserve"> of nutrients, trace elements, and vitamins (</w:t>
      </w:r>
      <w:proofErr w:type="spellStart"/>
      <w:r w:rsidR="008F3215" w:rsidRPr="008F3215">
        <w:rPr>
          <w:rFonts w:asciiTheme="majorBidi" w:hAnsiTheme="majorBidi" w:cstheme="majorBidi"/>
          <w:sz w:val="28"/>
          <w:szCs w:val="28"/>
        </w:rPr>
        <w:t>eg</w:t>
      </w:r>
      <w:proofErr w:type="spellEnd"/>
      <w:r w:rsidR="008F3215" w:rsidRPr="008F3215">
        <w:rPr>
          <w:rFonts w:asciiTheme="majorBidi" w:hAnsiTheme="majorBidi" w:cstheme="majorBidi"/>
          <w:sz w:val="28"/>
          <w:szCs w:val="28"/>
        </w:rPr>
        <w:t xml:space="preserve">, zinc, selenium, copper, vitamins A, D, and E) are also critical to hematopoiesis. </w:t>
      </w:r>
      <w:proofErr w:type="spellStart"/>
      <w:r w:rsidR="008F3215" w:rsidRPr="008F3215">
        <w:rPr>
          <w:rFonts w:asciiTheme="majorBidi" w:hAnsiTheme="majorBidi" w:cstheme="majorBidi"/>
          <w:sz w:val="28"/>
          <w:szCs w:val="28"/>
        </w:rPr>
        <w:t>Retinoids</w:t>
      </w:r>
      <w:proofErr w:type="spellEnd"/>
      <w:r w:rsidR="008F3215" w:rsidRPr="008F3215">
        <w:rPr>
          <w:rFonts w:asciiTheme="majorBidi" w:hAnsiTheme="majorBidi" w:cstheme="majorBidi"/>
          <w:sz w:val="28"/>
          <w:szCs w:val="28"/>
        </w:rPr>
        <w:t xml:space="preserve"> and particularly retinoid antagonists play important roles in differentiation even</w:t>
      </w:r>
      <w:r w:rsidR="0090235E" w:rsidRPr="0090235E">
        <w:rPr>
          <w:rFonts w:asciiTheme="majorBidi" w:hAnsiTheme="majorBidi" w:cstheme="majorBidi"/>
          <w:sz w:val="28"/>
          <w:szCs w:val="28"/>
        </w:rPr>
        <w:t xml:space="preserve"> </w:t>
      </w:r>
      <w:proofErr w:type="gramStart"/>
      <w:r w:rsidR="0090235E" w:rsidRPr="008F3215">
        <w:rPr>
          <w:rFonts w:asciiTheme="majorBidi" w:hAnsiTheme="majorBidi" w:cstheme="majorBidi"/>
          <w:sz w:val="28"/>
          <w:szCs w:val="28"/>
        </w:rPr>
        <w:t>at</w:t>
      </w:r>
      <w:r w:rsidR="0090235E">
        <w:rPr>
          <w:rFonts w:asciiTheme="majorBidi" w:hAnsiTheme="majorBidi" w:cstheme="majorBidi"/>
          <w:sz w:val="28"/>
          <w:szCs w:val="28"/>
        </w:rPr>
        <w:t xml:space="preserve"> </w:t>
      </w:r>
      <w:r w:rsidR="008F3215" w:rsidRPr="008F3215">
        <w:rPr>
          <w:rFonts w:asciiTheme="majorBidi" w:hAnsiTheme="majorBidi" w:cstheme="majorBidi"/>
          <w:sz w:val="28"/>
          <w:szCs w:val="28"/>
        </w:rPr>
        <w:t xml:space="preserve"> low</w:t>
      </w:r>
      <w:proofErr w:type="gramEnd"/>
      <w:r w:rsidR="008F3215" w:rsidRPr="008F3215">
        <w:rPr>
          <w:rFonts w:asciiTheme="majorBidi" w:hAnsiTheme="majorBidi" w:cstheme="majorBidi"/>
          <w:sz w:val="28"/>
          <w:szCs w:val="28"/>
        </w:rPr>
        <w:t xml:space="preserve"> concentrations  </w:t>
      </w:r>
      <w:r w:rsidR="008F3215" w:rsidRPr="008F3215">
        <w:rPr>
          <w:rFonts w:asciiTheme="majorBidi" w:hAnsiTheme="majorBidi" w:cstheme="majorBidi"/>
          <w:b/>
          <w:bCs/>
          <w:i/>
          <w:iCs/>
          <w:sz w:val="28"/>
          <w:szCs w:val="28"/>
        </w:rPr>
        <w:t>(</w:t>
      </w:r>
      <w:proofErr w:type="spellStart"/>
      <w:r w:rsidR="008F3215" w:rsidRPr="008F3215">
        <w:rPr>
          <w:rFonts w:asciiTheme="majorBidi" w:hAnsiTheme="majorBidi" w:cstheme="majorBidi"/>
          <w:b/>
          <w:bCs/>
          <w:i/>
          <w:iCs/>
          <w:sz w:val="28"/>
          <w:szCs w:val="28"/>
        </w:rPr>
        <w:t>Taichman</w:t>
      </w:r>
      <w:proofErr w:type="spellEnd"/>
      <w:r w:rsidR="008F3215" w:rsidRPr="008F3215">
        <w:rPr>
          <w:rFonts w:asciiTheme="majorBidi" w:hAnsiTheme="majorBidi" w:cstheme="majorBidi"/>
          <w:b/>
          <w:bCs/>
          <w:i/>
          <w:iCs/>
          <w:sz w:val="28"/>
          <w:szCs w:val="28"/>
        </w:rPr>
        <w:t xml:space="preserve"> et al.</w:t>
      </w:r>
      <w:r w:rsidR="008B2194">
        <w:rPr>
          <w:rFonts w:asciiTheme="majorBidi" w:hAnsiTheme="majorBidi" w:cstheme="majorBidi"/>
          <w:b/>
          <w:bCs/>
          <w:i/>
          <w:iCs/>
          <w:sz w:val="28"/>
          <w:szCs w:val="28"/>
        </w:rPr>
        <w:t>,</w:t>
      </w:r>
      <w:r w:rsidR="008F3215" w:rsidRPr="008F3215">
        <w:rPr>
          <w:rFonts w:asciiTheme="majorBidi" w:hAnsiTheme="majorBidi" w:cstheme="majorBidi"/>
          <w:b/>
          <w:bCs/>
          <w:i/>
          <w:iCs/>
          <w:sz w:val="28"/>
          <w:szCs w:val="28"/>
        </w:rPr>
        <w:t xml:space="preserve"> 2000)</w:t>
      </w:r>
      <w:r w:rsidR="002A3CE2">
        <w:rPr>
          <w:rFonts w:asciiTheme="majorBidi" w:hAnsiTheme="majorBidi" w:cstheme="majorBidi"/>
          <w:b/>
          <w:bCs/>
          <w:i/>
          <w:iCs/>
          <w:sz w:val="28"/>
          <w:szCs w:val="28"/>
        </w:rPr>
        <w:t>.</w:t>
      </w:r>
    </w:p>
    <w:p w:rsidR="002B01CB" w:rsidRDefault="002A3CE2" w:rsidP="00337827">
      <w:pPr>
        <w:bidi w:val="0"/>
        <w:spacing w:line="360" w:lineRule="auto"/>
        <w:jc w:val="lowKashida"/>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008F3215" w:rsidRPr="008F3215">
        <w:rPr>
          <w:rFonts w:asciiTheme="majorBidi" w:hAnsiTheme="majorBidi" w:cstheme="majorBidi"/>
          <w:b/>
          <w:bCs/>
          <w:i/>
          <w:iCs/>
          <w:sz w:val="28"/>
          <w:szCs w:val="28"/>
        </w:rPr>
        <w:t xml:space="preserve"> </w:t>
      </w:r>
      <w:r w:rsidRPr="002A3CE2">
        <w:rPr>
          <w:rFonts w:asciiTheme="majorBidi" w:hAnsiTheme="majorBidi" w:cstheme="majorBidi"/>
          <w:sz w:val="28"/>
          <w:szCs w:val="28"/>
        </w:rPr>
        <w:t xml:space="preserve">In addition to this </w:t>
      </w:r>
      <w:r>
        <w:rPr>
          <w:rFonts w:asciiTheme="majorBidi" w:hAnsiTheme="majorBidi" w:cstheme="majorBidi"/>
          <w:sz w:val="28"/>
          <w:szCs w:val="28"/>
        </w:rPr>
        <w:t>t</w:t>
      </w:r>
      <w:r w:rsidRPr="002A3CE2">
        <w:rPr>
          <w:rFonts w:asciiTheme="majorBidi" w:hAnsiTheme="majorBidi" w:cstheme="majorBidi"/>
          <w:sz w:val="28"/>
          <w:szCs w:val="28"/>
        </w:rPr>
        <w:t xml:space="preserve">he </w:t>
      </w:r>
      <w:proofErr w:type="spellStart"/>
      <w:r w:rsidRPr="002A3CE2">
        <w:rPr>
          <w:rFonts w:asciiTheme="majorBidi" w:hAnsiTheme="majorBidi" w:cstheme="majorBidi"/>
          <w:sz w:val="28"/>
          <w:szCs w:val="28"/>
        </w:rPr>
        <w:t>Rb</w:t>
      </w:r>
      <w:proofErr w:type="spellEnd"/>
      <w:r w:rsidRPr="002A3CE2">
        <w:rPr>
          <w:rFonts w:asciiTheme="majorBidi" w:hAnsiTheme="majorBidi" w:cstheme="majorBidi"/>
          <w:sz w:val="28"/>
          <w:szCs w:val="28"/>
        </w:rPr>
        <w:t xml:space="preserve"> family, the E2Fs, cyclins, SCL, </w:t>
      </w:r>
      <w:proofErr w:type="spellStart"/>
      <w:r w:rsidRPr="002A3CE2">
        <w:rPr>
          <w:rFonts w:asciiTheme="majorBidi" w:hAnsiTheme="majorBidi" w:cstheme="majorBidi"/>
          <w:sz w:val="28"/>
          <w:szCs w:val="28"/>
        </w:rPr>
        <w:t>Hox</w:t>
      </w:r>
      <w:proofErr w:type="spellEnd"/>
      <w:r w:rsidRPr="002A3CE2">
        <w:rPr>
          <w:rFonts w:asciiTheme="majorBidi" w:hAnsiTheme="majorBidi" w:cstheme="majorBidi"/>
          <w:sz w:val="28"/>
          <w:szCs w:val="28"/>
        </w:rPr>
        <w:t xml:space="preserve"> and other gene families appear to regulate proliferation and </w:t>
      </w:r>
      <w:proofErr w:type="spellStart"/>
      <w:r w:rsidRPr="002A3CE2">
        <w:rPr>
          <w:rFonts w:asciiTheme="majorBidi" w:hAnsiTheme="majorBidi" w:cstheme="majorBidi"/>
          <w:sz w:val="28"/>
          <w:szCs w:val="28"/>
        </w:rPr>
        <w:t>self</w:t>
      </w:r>
      <w:r w:rsidR="00282C99">
        <w:rPr>
          <w:rFonts w:asciiTheme="majorBidi" w:hAnsiTheme="majorBidi" w:cstheme="majorBidi"/>
          <w:sz w:val="28"/>
          <w:szCs w:val="28"/>
        </w:rPr>
        <w:t xml:space="preserve"> </w:t>
      </w:r>
      <w:r w:rsidRPr="002A3CE2">
        <w:rPr>
          <w:rFonts w:asciiTheme="majorBidi" w:hAnsiTheme="majorBidi" w:cstheme="majorBidi"/>
          <w:sz w:val="28"/>
          <w:szCs w:val="28"/>
        </w:rPr>
        <w:t>renewal</w:t>
      </w:r>
      <w:proofErr w:type="spellEnd"/>
      <w:r w:rsidRPr="002A3CE2">
        <w:rPr>
          <w:rFonts w:asciiTheme="majorBidi" w:hAnsiTheme="majorBidi" w:cstheme="majorBidi"/>
          <w:sz w:val="28"/>
          <w:szCs w:val="28"/>
        </w:rPr>
        <w:t xml:space="preserve"> of early hematopoietic cells</w:t>
      </w:r>
      <w:r>
        <w:rPr>
          <w:rFonts w:asciiTheme="majorBidi" w:hAnsiTheme="majorBidi" w:cstheme="majorBidi"/>
          <w:sz w:val="28"/>
          <w:szCs w:val="28"/>
        </w:rPr>
        <w:t xml:space="preserve">. </w:t>
      </w:r>
      <w:r w:rsidRPr="002A3CE2">
        <w:rPr>
          <w:rFonts w:asciiTheme="majorBidi" w:hAnsiTheme="majorBidi" w:cstheme="majorBidi"/>
          <w:sz w:val="28"/>
          <w:szCs w:val="28"/>
        </w:rPr>
        <w:t xml:space="preserve">The </w:t>
      </w:r>
      <w:proofErr w:type="spellStart"/>
      <w:r w:rsidRPr="002A3CE2">
        <w:rPr>
          <w:rFonts w:asciiTheme="majorBidi" w:hAnsiTheme="majorBidi" w:cstheme="majorBidi"/>
          <w:sz w:val="28"/>
          <w:szCs w:val="28"/>
        </w:rPr>
        <w:t>bcl</w:t>
      </w:r>
      <w:proofErr w:type="spellEnd"/>
      <w:r w:rsidRPr="002A3CE2">
        <w:rPr>
          <w:rFonts w:asciiTheme="majorBidi" w:hAnsiTheme="majorBidi" w:cstheme="majorBidi"/>
          <w:sz w:val="28"/>
          <w:szCs w:val="28"/>
        </w:rPr>
        <w:t xml:space="preserve"> family and others regulate apoptosis in hematopoietic cells. A variety of genes including the C/EBP, </w:t>
      </w:r>
      <w:proofErr w:type="spellStart"/>
      <w:r w:rsidRPr="002A3CE2">
        <w:rPr>
          <w:rFonts w:asciiTheme="majorBidi" w:hAnsiTheme="majorBidi" w:cstheme="majorBidi"/>
          <w:sz w:val="28"/>
          <w:szCs w:val="28"/>
        </w:rPr>
        <w:t>MyD</w:t>
      </w:r>
      <w:proofErr w:type="spellEnd"/>
      <w:r w:rsidRPr="002A3CE2">
        <w:rPr>
          <w:rFonts w:asciiTheme="majorBidi" w:hAnsiTheme="majorBidi" w:cstheme="majorBidi"/>
          <w:sz w:val="28"/>
          <w:szCs w:val="28"/>
        </w:rPr>
        <w:t xml:space="preserve">, </w:t>
      </w:r>
      <w:proofErr w:type="spellStart"/>
      <w:r w:rsidRPr="002A3CE2">
        <w:rPr>
          <w:rFonts w:asciiTheme="majorBidi" w:hAnsiTheme="majorBidi" w:cstheme="majorBidi"/>
          <w:sz w:val="28"/>
          <w:szCs w:val="28"/>
        </w:rPr>
        <w:t>PaxB</w:t>
      </w:r>
      <w:proofErr w:type="spellEnd"/>
      <w:r w:rsidRPr="002A3CE2">
        <w:rPr>
          <w:rFonts w:asciiTheme="majorBidi" w:hAnsiTheme="majorBidi" w:cstheme="majorBidi"/>
          <w:sz w:val="28"/>
          <w:szCs w:val="28"/>
        </w:rPr>
        <w:t xml:space="preserve">, and </w:t>
      </w:r>
      <w:proofErr w:type="spellStart"/>
      <w:r w:rsidRPr="002A3CE2">
        <w:rPr>
          <w:rFonts w:asciiTheme="majorBidi" w:hAnsiTheme="majorBidi" w:cstheme="majorBidi"/>
          <w:sz w:val="28"/>
          <w:szCs w:val="28"/>
        </w:rPr>
        <w:t>Ikaros</w:t>
      </w:r>
      <w:proofErr w:type="spellEnd"/>
      <w:r w:rsidRPr="002A3CE2">
        <w:rPr>
          <w:rFonts w:asciiTheme="majorBidi" w:hAnsiTheme="majorBidi" w:cstheme="majorBidi"/>
          <w:sz w:val="28"/>
          <w:szCs w:val="28"/>
        </w:rPr>
        <w:t xml:space="preserve"> appear to play critical roles in hematopoietic cell lineage commitment</w:t>
      </w:r>
      <w:r>
        <w:rPr>
          <w:rFonts w:asciiTheme="majorBidi" w:hAnsiTheme="majorBidi" w:cstheme="majorBidi"/>
          <w:sz w:val="28"/>
          <w:szCs w:val="28"/>
        </w:rPr>
        <w:t xml:space="preserve"> </w:t>
      </w:r>
      <w:proofErr w:type="gramStart"/>
      <w:r w:rsidRPr="002A3CE2">
        <w:rPr>
          <w:rFonts w:asciiTheme="majorBidi" w:hAnsiTheme="majorBidi" w:cstheme="majorBidi"/>
          <w:b/>
          <w:bCs/>
          <w:i/>
          <w:iCs/>
          <w:sz w:val="28"/>
          <w:szCs w:val="28"/>
        </w:rPr>
        <w:t xml:space="preserve">( </w:t>
      </w:r>
      <w:proofErr w:type="spellStart"/>
      <w:r w:rsidRPr="002A3CE2">
        <w:rPr>
          <w:rFonts w:asciiTheme="majorBidi" w:hAnsiTheme="majorBidi" w:cstheme="majorBidi"/>
          <w:b/>
          <w:bCs/>
          <w:i/>
          <w:iCs/>
          <w:sz w:val="28"/>
          <w:szCs w:val="28"/>
        </w:rPr>
        <w:t>Georgopoulos</w:t>
      </w:r>
      <w:proofErr w:type="spellEnd"/>
      <w:proofErr w:type="gramEnd"/>
      <w:r w:rsidRPr="002A3CE2">
        <w:rPr>
          <w:rFonts w:asciiTheme="majorBidi" w:hAnsiTheme="majorBidi" w:cstheme="majorBidi"/>
          <w:b/>
          <w:bCs/>
          <w:i/>
          <w:iCs/>
          <w:sz w:val="28"/>
          <w:szCs w:val="28"/>
        </w:rPr>
        <w:t xml:space="preserve"> , 2002)</w:t>
      </w:r>
      <w:r w:rsidR="002B01CB" w:rsidRPr="002B01CB">
        <w:rPr>
          <w:rFonts w:asciiTheme="majorBidi" w:hAnsiTheme="majorBidi" w:cstheme="majorBidi"/>
          <w:b/>
          <w:bCs/>
          <w:i/>
          <w:iCs/>
          <w:sz w:val="28"/>
          <w:szCs w:val="28"/>
        </w:rPr>
        <w:t>.</w:t>
      </w:r>
    </w:p>
    <w:p w:rsidR="00A46F5F" w:rsidRDefault="00A46F5F" w:rsidP="00EC7778">
      <w:pPr>
        <w:tabs>
          <w:tab w:val="center" w:pos="4153"/>
          <w:tab w:val="right" w:pos="8306"/>
        </w:tabs>
        <w:spacing w:line="360" w:lineRule="auto"/>
        <w:rPr>
          <w:rFonts w:asciiTheme="majorBidi" w:hAnsiTheme="majorBidi" w:cstheme="majorBidi"/>
          <w:sz w:val="28"/>
          <w:szCs w:val="28"/>
          <w:lang w:bidi="ar-EG"/>
        </w:rPr>
      </w:pPr>
    </w:p>
    <w:p w:rsidR="00EC7778" w:rsidRPr="00EC7778" w:rsidRDefault="00EC7778" w:rsidP="00EC7778">
      <w:pPr>
        <w:tabs>
          <w:tab w:val="center" w:pos="4153"/>
          <w:tab w:val="right" w:pos="8306"/>
        </w:tabs>
        <w:spacing w:line="360" w:lineRule="auto"/>
        <w:rPr>
          <w:rFonts w:asciiTheme="majorBidi" w:hAnsiTheme="majorBidi" w:cstheme="majorBidi"/>
          <w:sz w:val="28"/>
          <w:szCs w:val="28"/>
          <w:rtl/>
          <w:lang w:bidi="ar-EG"/>
        </w:rPr>
      </w:pPr>
      <w:r>
        <w:rPr>
          <w:noProof/>
          <w:color w:val="0000FF"/>
        </w:rPr>
        <w:lastRenderedPageBreak/>
        <w:drawing>
          <wp:inline distT="0" distB="0" distL="0" distR="0" wp14:anchorId="7EFA973C" wp14:editId="6E88E12A">
            <wp:extent cx="5086350" cy="3124200"/>
            <wp:effectExtent l="76200" t="76200" r="133350" b="133350"/>
            <wp:docPr id="3" name="irc_mi" descr="نتيجة بحث الصور عن ‪normal hematopoies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normal hematopoiesi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3124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7778" w:rsidRDefault="00337827" w:rsidP="00B67F11">
      <w:pPr>
        <w:bidi w:val="0"/>
        <w:spacing w:line="360" w:lineRule="auto"/>
        <w:jc w:val="lowKashida"/>
        <w:rPr>
          <w:rFonts w:asciiTheme="majorBidi" w:hAnsiTheme="majorBidi" w:cstheme="majorBidi"/>
          <w:sz w:val="28"/>
          <w:szCs w:val="28"/>
          <w:lang w:val="en"/>
        </w:rPr>
      </w:pPr>
      <w:r w:rsidRPr="00EC7778">
        <w:rPr>
          <w:rFonts w:asciiTheme="majorBidi" w:hAnsiTheme="majorBidi" w:cstheme="majorBidi"/>
          <w:sz w:val="28"/>
          <w:szCs w:val="28"/>
        </w:rPr>
        <w:t xml:space="preserve">  </w:t>
      </w:r>
      <w:r w:rsidR="00EC7778" w:rsidRPr="00EC7778">
        <w:rPr>
          <w:rFonts w:asciiTheme="majorBidi" w:hAnsiTheme="majorBidi" w:cstheme="majorBidi"/>
          <w:sz w:val="28"/>
          <w:szCs w:val="28"/>
        </w:rPr>
        <w:t xml:space="preserve"> </w:t>
      </w:r>
      <w:r w:rsidR="00EC7778" w:rsidRPr="00CA5299">
        <w:rPr>
          <w:rFonts w:asciiTheme="majorBidi" w:hAnsiTheme="majorBidi" w:cstheme="majorBidi"/>
          <w:b/>
          <w:bCs/>
          <w:sz w:val="28"/>
          <w:szCs w:val="28"/>
        </w:rPr>
        <w:t>Figure (1)</w:t>
      </w:r>
      <w:r w:rsidR="00EC7778" w:rsidRPr="00EC7778">
        <w:rPr>
          <w:rFonts w:asciiTheme="majorBidi" w:hAnsiTheme="majorBidi" w:cstheme="majorBidi"/>
          <w:sz w:val="28"/>
          <w:szCs w:val="28"/>
        </w:rPr>
        <w:t xml:space="preserve">: </w:t>
      </w:r>
      <w:r w:rsidR="00EC7778" w:rsidRPr="00EC7778">
        <w:rPr>
          <w:rStyle w:val="HTMLCite"/>
          <w:rFonts w:asciiTheme="majorBidi" w:hAnsiTheme="majorBidi" w:cstheme="majorBidi"/>
          <w:i w:val="0"/>
          <w:iCs w:val="0"/>
          <w:sz w:val="28"/>
          <w:szCs w:val="28"/>
          <w:lang w:val="en"/>
        </w:rPr>
        <w:t xml:space="preserve">Hematopoietic Growth Factors </w:t>
      </w:r>
      <w:r w:rsidR="00EC7778" w:rsidRPr="00EC7778">
        <w:rPr>
          <w:rStyle w:val="HTMLCite"/>
          <w:rFonts w:asciiTheme="majorBidi" w:hAnsiTheme="majorBidi" w:cstheme="majorBidi"/>
          <w:b/>
          <w:bCs/>
          <w:sz w:val="28"/>
          <w:szCs w:val="28"/>
          <w:lang w:val="en"/>
        </w:rPr>
        <w:t>(</w:t>
      </w:r>
      <w:proofErr w:type="spellStart"/>
      <w:r w:rsidR="00EC7778" w:rsidRPr="00EC7778">
        <w:rPr>
          <w:rStyle w:val="HTMLCite"/>
          <w:rFonts w:asciiTheme="majorBidi" w:hAnsiTheme="majorBidi" w:cstheme="majorBidi"/>
          <w:b/>
          <w:bCs/>
          <w:sz w:val="28"/>
          <w:szCs w:val="28"/>
          <w:lang w:val="en"/>
        </w:rPr>
        <w:t>Hauke</w:t>
      </w:r>
      <w:proofErr w:type="spellEnd"/>
      <w:r w:rsidR="00EC7778" w:rsidRPr="00EC7778">
        <w:rPr>
          <w:rFonts w:asciiTheme="majorBidi" w:hAnsiTheme="majorBidi" w:cstheme="majorBidi"/>
          <w:b/>
          <w:bCs/>
          <w:sz w:val="28"/>
          <w:szCs w:val="28"/>
          <w:lang w:val="en"/>
        </w:rPr>
        <w:t xml:space="preserve"> and</w:t>
      </w:r>
      <w:r w:rsidR="00EC7778" w:rsidRPr="00EC7778">
        <w:rPr>
          <w:rStyle w:val="Hyperlink"/>
          <w:rFonts w:asciiTheme="majorBidi" w:hAnsiTheme="majorBidi" w:cstheme="majorBidi"/>
          <w:b/>
          <w:bCs/>
          <w:sz w:val="28"/>
          <w:szCs w:val="28"/>
          <w:lang w:val="en"/>
        </w:rPr>
        <w:t xml:space="preserve"> </w:t>
      </w:r>
      <w:r w:rsidR="00EC7778" w:rsidRPr="00EC7778">
        <w:rPr>
          <w:rStyle w:val="HTMLCite"/>
          <w:rFonts w:asciiTheme="majorBidi" w:hAnsiTheme="majorBidi" w:cstheme="majorBidi"/>
          <w:b/>
          <w:bCs/>
          <w:sz w:val="28"/>
          <w:szCs w:val="28"/>
          <w:lang w:val="en"/>
        </w:rPr>
        <w:t>Stefano</w:t>
      </w:r>
      <w:r w:rsidR="00EC7778" w:rsidRPr="00EC7778">
        <w:rPr>
          <w:rFonts w:asciiTheme="majorBidi" w:hAnsiTheme="majorBidi" w:cstheme="majorBidi"/>
          <w:b/>
          <w:bCs/>
          <w:sz w:val="28"/>
          <w:szCs w:val="28"/>
          <w:lang w:val="en"/>
        </w:rPr>
        <w:t>, 2000).</w:t>
      </w:r>
      <w:r w:rsidR="00EC7778" w:rsidRPr="00EC7778">
        <w:rPr>
          <w:rFonts w:asciiTheme="majorBidi" w:hAnsiTheme="majorBidi" w:cstheme="majorBidi"/>
          <w:sz w:val="28"/>
          <w:szCs w:val="28"/>
          <w:lang w:val="en"/>
        </w:rPr>
        <w:t xml:space="preserve"> </w:t>
      </w:r>
    </w:p>
    <w:p w:rsidR="00C706A7" w:rsidRPr="00337827" w:rsidRDefault="00C706A7" w:rsidP="00C706A7">
      <w:pPr>
        <w:bidi w:val="0"/>
        <w:spacing w:line="360" w:lineRule="auto"/>
        <w:jc w:val="lowKashida"/>
        <w:rPr>
          <w:rFonts w:asciiTheme="majorBidi" w:hAnsiTheme="majorBidi" w:cstheme="majorBidi"/>
          <w:b/>
          <w:bCs/>
          <w:i/>
          <w:iCs/>
          <w:sz w:val="28"/>
          <w:szCs w:val="28"/>
          <w:lang w:bidi="ar-EG"/>
        </w:rPr>
      </w:pPr>
      <w:r>
        <w:rPr>
          <w:rFonts w:asciiTheme="majorBidi" w:hAnsiTheme="majorBidi" w:cstheme="majorBidi"/>
          <w:sz w:val="28"/>
          <w:szCs w:val="28"/>
        </w:rPr>
        <w:t xml:space="preserve">     </w:t>
      </w:r>
      <w:r w:rsidRPr="00CA62E1">
        <w:rPr>
          <w:rFonts w:asciiTheme="majorBidi" w:hAnsiTheme="majorBidi" w:cstheme="majorBidi"/>
          <w:sz w:val="28"/>
          <w:szCs w:val="28"/>
        </w:rPr>
        <w:t>An understanding of the princi</w:t>
      </w:r>
      <w:r>
        <w:rPr>
          <w:rFonts w:asciiTheme="majorBidi" w:hAnsiTheme="majorBidi" w:cstheme="majorBidi"/>
          <w:sz w:val="28"/>
          <w:szCs w:val="28"/>
        </w:rPr>
        <w:t>pal mechanisms in hematopoiesis</w:t>
      </w:r>
      <w:r w:rsidRPr="00CA62E1">
        <w:rPr>
          <w:rFonts w:asciiTheme="majorBidi" w:hAnsiTheme="majorBidi" w:cstheme="majorBidi"/>
          <w:sz w:val="28"/>
          <w:szCs w:val="28"/>
        </w:rPr>
        <w:t xml:space="preserve"> is import</w:t>
      </w:r>
      <w:r>
        <w:rPr>
          <w:rFonts w:asciiTheme="majorBidi" w:hAnsiTheme="majorBidi" w:cstheme="majorBidi"/>
          <w:sz w:val="28"/>
          <w:szCs w:val="28"/>
        </w:rPr>
        <w:t>ant to the practice of oncology. Disorders</w:t>
      </w:r>
      <w:r w:rsidRPr="00CA62E1">
        <w:rPr>
          <w:rFonts w:asciiTheme="majorBidi" w:hAnsiTheme="majorBidi" w:cstheme="majorBidi"/>
          <w:sz w:val="28"/>
          <w:szCs w:val="28"/>
        </w:rPr>
        <w:t xml:space="preserve"> of hematopoiesis underlie a number of hematologic malignancies and other disorders suc</w:t>
      </w:r>
      <w:r>
        <w:rPr>
          <w:rFonts w:asciiTheme="majorBidi" w:hAnsiTheme="majorBidi" w:cstheme="majorBidi"/>
          <w:sz w:val="28"/>
          <w:szCs w:val="28"/>
        </w:rPr>
        <w:t xml:space="preserve">h as leukemia, aplastic anemia, </w:t>
      </w:r>
      <w:r w:rsidRPr="00CA62E1">
        <w:rPr>
          <w:rFonts w:asciiTheme="majorBidi" w:hAnsiTheme="majorBidi" w:cstheme="majorBidi"/>
          <w:sz w:val="28"/>
          <w:szCs w:val="28"/>
        </w:rPr>
        <w:t>lymphoma,</w:t>
      </w:r>
      <w:r>
        <w:rPr>
          <w:rFonts w:asciiTheme="majorBidi" w:hAnsiTheme="majorBidi" w:cstheme="majorBidi"/>
          <w:sz w:val="28"/>
          <w:szCs w:val="28"/>
        </w:rPr>
        <w:t xml:space="preserve"> </w:t>
      </w:r>
      <w:r w:rsidRPr="00CA62E1">
        <w:rPr>
          <w:rFonts w:asciiTheme="majorBidi" w:hAnsiTheme="majorBidi" w:cstheme="majorBidi"/>
          <w:sz w:val="28"/>
          <w:szCs w:val="28"/>
        </w:rPr>
        <w:t>myelodysplasia,</w:t>
      </w:r>
      <w:r>
        <w:rPr>
          <w:rFonts w:asciiTheme="majorBidi" w:hAnsiTheme="majorBidi" w:cstheme="majorBidi"/>
          <w:sz w:val="28"/>
          <w:szCs w:val="28"/>
        </w:rPr>
        <w:t xml:space="preserve"> myeloproliferative disorders </w:t>
      </w:r>
      <w:r w:rsidRPr="00CA62E1">
        <w:rPr>
          <w:rFonts w:asciiTheme="majorBidi" w:hAnsiTheme="majorBidi" w:cstheme="majorBidi"/>
          <w:sz w:val="28"/>
          <w:szCs w:val="28"/>
        </w:rPr>
        <w:t xml:space="preserve">and inborn errors of metabolism. Chemotherapy-induced </w:t>
      </w:r>
      <w:proofErr w:type="spellStart"/>
      <w:r w:rsidRPr="00CA62E1">
        <w:rPr>
          <w:rFonts w:asciiTheme="majorBidi" w:hAnsiTheme="majorBidi" w:cstheme="majorBidi"/>
          <w:sz w:val="28"/>
          <w:szCs w:val="28"/>
        </w:rPr>
        <w:t>cytopenia</w:t>
      </w:r>
      <w:proofErr w:type="spellEnd"/>
      <w:r w:rsidRPr="00CA62E1">
        <w:rPr>
          <w:rFonts w:asciiTheme="majorBidi" w:hAnsiTheme="majorBidi" w:cstheme="majorBidi"/>
          <w:sz w:val="28"/>
          <w:szCs w:val="28"/>
        </w:rPr>
        <w:t xml:space="preserve"> is one of the primary causes of morbidity and mortal</w:t>
      </w:r>
      <w:r>
        <w:rPr>
          <w:rFonts w:asciiTheme="majorBidi" w:hAnsiTheme="majorBidi" w:cstheme="majorBidi"/>
          <w:sz w:val="28"/>
          <w:szCs w:val="28"/>
        </w:rPr>
        <w:t xml:space="preserve">ity in the treatment of cancer </w:t>
      </w:r>
      <w:r w:rsidRPr="00337827">
        <w:rPr>
          <w:rFonts w:asciiTheme="majorBidi" w:hAnsiTheme="majorBidi" w:cstheme="majorBidi"/>
          <w:b/>
          <w:bCs/>
          <w:i/>
          <w:iCs/>
          <w:sz w:val="28"/>
          <w:szCs w:val="28"/>
        </w:rPr>
        <w:t>(Smith, 2003).</w:t>
      </w:r>
    </w:p>
    <w:p w:rsidR="00B67F11" w:rsidRPr="00C706A7" w:rsidRDefault="004B52AA" w:rsidP="00C706A7">
      <w:pPr>
        <w:bidi w:val="0"/>
        <w:spacing w:line="360" w:lineRule="auto"/>
        <w:jc w:val="lowKashida"/>
        <w:rPr>
          <w:rFonts w:asciiTheme="majorBidi" w:hAnsiTheme="majorBidi" w:cstheme="majorBidi"/>
          <w:b/>
          <w:bCs/>
          <w:sz w:val="28"/>
          <w:szCs w:val="28"/>
          <w:lang w:val="en"/>
        </w:rPr>
      </w:pPr>
      <w:r>
        <w:rPr>
          <w:rFonts w:asciiTheme="majorBidi" w:hAnsiTheme="majorBidi" w:cstheme="majorBidi"/>
          <w:b/>
          <w:bCs/>
          <w:sz w:val="28"/>
          <w:szCs w:val="28"/>
          <w:lang w:val="en"/>
        </w:rPr>
        <w:t>2-</w:t>
      </w:r>
      <w:r w:rsidR="00B67F11" w:rsidRPr="00C706A7">
        <w:rPr>
          <w:rFonts w:asciiTheme="majorBidi" w:hAnsiTheme="majorBidi" w:cstheme="majorBidi"/>
          <w:b/>
          <w:bCs/>
          <w:sz w:val="28"/>
          <w:szCs w:val="28"/>
          <w:lang w:val="en"/>
        </w:rPr>
        <w:t>Acute ly</w:t>
      </w:r>
      <w:r w:rsidR="00305D45">
        <w:rPr>
          <w:rFonts w:asciiTheme="majorBidi" w:hAnsiTheme="majorBidi" w:cstheme="majorBidi"/>
          <w:b/>
          <w:bCs/>
          <w:sz w:val="28"/>
          <w:szCs w:val="28"/>
          <w:lang w:val="en"/>
        </w:rPr>
        <w:t>m</w:t>
      </w:r>
      <w:r w:rsidR="00B67F11" w:rsidRPr="00C706A7">
        <w:rPr>
          <w:rFonts w:asciiTheme="majorBidi" w:hAnsiTheme="majorBidi" w:cstheme="majorBidi"/>
          <w:b/>
          <w:bCs/>
          <w:sz w:val="28"/>
          <w:szCs w:val="28"/>
          <w:lang w:val="en"/>
        </w:rPr>
        <w:t>phoblastic leukemia:</w:t>
      </w:r>
    </w:p>
    <w:p w:rsidR="00B67F11" w:rsidRPr="004B52AA" w:rsidRDefault="004B52AA" w:rsidP="004C069F">
      <w:pPr>
        <w:bidi w:val="0"/>
        <w:spacing w:line="360" w:lineRule="auto"/>
        <w:jc w:val="lowKashida"/>
        <w:rPr>
          <w:rFonts w:asciiTheme="majorBidi" w:hAnsiTheme="majorBidi" w:cstheme="majorBidi"/>
          <w:b/>
          <w:bCs/>
          <w:sz w:val="28"/>
          <w:szCs w:val="28"/>
          <w:u w:val="single"/>
          <w:lang w:val="en"/>
        </w:rPr>
      </w:pPr>
      <w:r>
        <w:rPr>
          <w:rFonts w:asciiTheme="majorBidi" w:hAnsiTheme="majorBidi" w:cstheme="majorBidi"/>
          <w:b/>
          <w:bCs/>
          <w:sz w:val="28"/>
          <w:szCs w:val="28"/>
          <w:u w:val="single"/>
          <w:lang w:val="en"/>
        </w:rPr>
        <w:t>A-</w:t>
      </w:r>
      <w:r w:rsidR="00B67F11" w:rsidRPr="004B52AA">
        <w:rPr>
          <w:rFonts w:asciiTheme="majorBidi" w:hAnsiTheme="majorBidi" w:cstheme="majorBidi"/>
          <w:b/>
          <w:bCs/>
          <w:sz w:val="28"/>
          <w:szCs w:val="28"/>
          <w:u w:val="single"/>
          <w:lang w:val="en"/>
        </w:rPr>
        <w:t>In</w:t>
      </w:r>
      <w:r w:rsidR="004C069F">
        <w:rPr>
          <w:rFonts w:asciiTheme="majorBidi" w:hAnsiTheme="majorBidi" w:cstheme="majorBidi"/>
          <w:b/>
          <w:bCs/>
          <w:sz w:val="28"/>
          <w:szCs w:val="28"/>
          <w:u w:val="single"/>
          <w:lang w:val="en"/>
        </w:rPr>
        <w:t>cidence</w:t>
      </w:r>
      <w:r w:rsidRPr="004B52AA">
        <w:rPr>
          <w:rFonts w:asciiTheme="majorBidi" w:hAnsiTheme="majorBidi" w:cstheme="majorBidi"/>
          <w:b/>
          <w:bCs/>
          <w:sz w:val="28"/>
          <w:szCs w:val="28"/>
          <w:u w:val="single"/>
          <w:lang w:val="en"/>
        </w:rPr>
        <w:t>:</w:t>
      </w:r>
    </w:p>
    <w:p w:rsidR="002A3CE2" w:rsidRDefault="00337827" w:rsidP="00C706A7">
      <w:pPr>
        <w:bidi w:val="0"/>
        <w:spacing w:line="360" w:lineRule="auto"/>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00C72E12">
        <w:rPr>
          <w:rFonts w:asciiTheme="majorBidi" w:hAnsiTheme="majorBidi" w:cstheme="majorBidi"/>
          <w:sz w:val="28"/>
          <w:szCs w:val="28"/>
        </w:rPr>
        <w:t xml:space="preserve">  </w:t>
      </w:r>
      <w:r w:rsidR="00AC6E74" w:rsidRPr="00140719">
        <w:rPr>
          <w:rFonts w:asciiTheme="majorBidi" w:hAnsiTheme="majorBidi" w:cstheme="majorBidi"/>
          <w:sz w:val="28"/>
          <w:szCs w:val="28"/>
        </w:rPr>
        <w:t xml:space="preserve">Acute leukemia is a malignant disorder in which </w:t>
      </w:r>
      <w:proofErr w:type="spellStart"/>
      <w:r w:rsidR="00AC6E74" w:rsidRPr="00140719">
        <w:rPr>
          <w:rFonts w:asciiTheme="majorBidi" w:hAnsiTheme="majorBidi" w:cstheme="majorBidi"/>
          <w:sz w:val="28"/>
          <w:szCs w:val="28"/>
        </w:rPr>
        <w:t>hemopoietic</w:t>
      </w:r>
      <w:proofErr w:type="spellEnd"/>
      <w:r w:rsidR="00AC6E74" w:rsidRPr="00140719">
        <w:rPr>
          <w:rFonts w:asciiTheme="majorBidi" w:hAnsiTheme="majorBidi" w:cstheme="majorBidi"/>
          <w:sz w:val="28"/>
          <w:szCs w:val="28"/>
        </w:rPr>
        <w:t xml:space="preserve"> blast cells constitute more than 30% of bone marrow cells. The primitive cells usuall</w:t>
      </w:r>
      <w:r w:rsidR="00971A40" w:rsidRPr="00140719">
        <w:rPr>
          <w:rFonts w:asciiTheme="majorBidi" w:hAnsiTheme="majorBidi" w:cstheme="majorBidi"/>
          <w:sz w:val="28"/>
          <w:szCs w:val="28"/>
        </w:rPr>
        <w:t xml:space="preserve">y accumulate in the blood, </w:t>
      </w:r>
      <w:r w:rsidR="00AC6E74" w:rsidRPr="00140719">
        <w:rPr>
          <w:rFonts w:asciiTheme="majorBidi" w:hAnsiTheme="majorBidi" w:cstheme="majorBidi"/>
          <w:sz w:val="28"/>
          <w:szCs w:val="28"/>
        </w:rPr>
        <w:t xml:space="preserve">infiltrate other tissues and cause bone marrow failure </w:t>
      </w:r>
      <w:r w:rsidR="00AC6E74" w:rsidRPr="00A46F5F">
        <w:rPr>
          <w:rFonts w:asciiTheme="majorBidi" w:hAnsiTheme="majorBidi" w:cstheme="majorBidi"/>
          <w:b/>
          <w:bCs/>
          <w:i/>
          <w:iCs/>
          <w:sz w:val="28"/>
          <w:szCs w:val="28"/>
        </w:rPr>
        <w:t xml:space="preserve">(Mehta and </w:t>
      </w:r>
      <w:proofErr w:type="spellStart"/>
      <w:r w:rsidR="00AC6E74" w:rsidRPr="00A46F5F">
        <w:rPr>
          <w:rFonts w:asciiTheme="majorBidi" w:hAnsiTheme="majorBidi" w:cstheme="majorBidi"/>
          <w:b/>
          <w:bCs/>
          <w:i/>
          <w:iCs/>
          <w:sz w:val="28"/>
          <w:szCs w:val="28"/>
        </w:rPr>
        <w:t>Hoffbrand</w:t>
      </w:r>
      <w:proofErr w:type="spellEnd"/>
      <w:r w:rsidR="00AC6E74" w:rsidRPr="00A46F5F">
        <w:rPr>
          <w:rFonts w:asciiTheme="majorBidi" w:hAnsiTheme="majorBidi" w:cstheme="majorBidi"/>
          <w:b/>
          <w:bCs/>
          <w:i/>
          <w:iCs/>
          <w:sz w:val="28"/>
          <w:szCs w:val="28"/>
        </w:rPr>
        <w:t>, 2000).</w:t>
      </w:r>
    </w:p>
    <w:p w:rsidR="00215A01" w:rsidRDefault="00215A01" w:rsidP="006E40A7">
      <w:pPr>
        <w:bidi w:val="0"/>
        <w:spacing w:line="360" w:lineRule="auto"/>
        <w:jc w:val="lowKashida"/>
        <w:rPr>
          <w:rFonts w:asciiTheme="majorBidi" w:hAnsiTheme="majorBidi" w:cstheme="majorBidi"/>
          <w:sz w:val="28"/>
          <w:szCs w:val="28"/>
        </w:rPr>
      </w:pPr>
      <w:r>
        <w:lastRenderedPageBreak/>
        <w:t xml:space="preserve">       </w:t>
      </w:r>
      <w:r w:rsidRPr="00215A01">
        <w:rPr>
          <w:rFonts w:asciiTheme="majorBidi" w:hAnsiTheme="majorBidi" w:cstheme="majorBidi"/>
          <w:sz w:val="28"/>
          <w:szCs w:val="28"/>
        </w:rPr>
        <w:t>Acute lymphoblastic leukemia (ALL) is the second most common acute leukemia in adults. The hallmark of ALL is chromosomal abnormalities and genetic alterations involved in differentiation and proliferat</w:t>
      </w:r>
      <w:r>
        <w:rPr>
          <w:rFonts w:asciiTheme="majorBidi" w:hAnsiTheme="majorBidi" w:cstheme="majorBidi"/>
          <w:sz w:val="28"/>
          <w:szCs w:val="28"/>
        </w:rPr>
        <w:t>ion of lymphoid precursor cells</w:t>
      </w:r>
      <w:r w:rsidR="006E40A7">
        <w:rPr>
          <w:rFonts w:asciiTheme="majorBidi" w:hAnsiTheme="majorBidi" w:cstheme="majorBidi"/>
          <w:sz w:val="28"/>
          <w:szCs w:val="28"/>
        </w:rPr>
        <w:t>.</w:t>
      </w:r>
      <w:r>
        <w:rPr>
          <w:rFonts w:asciiTheme="majorBidi" w:hAnsiTheme="majorBidi" w:cstheme="majorBidi"/>
          <w:sz w:val="28"/>
          <w:szCs w:val="28"/>
        </w:rPr>
        <w:t xml:space="preserve"> </w:t>
      </w:r>
      <w:r w:rsidR="006E40A7" w:rsidRPr="006E40A7">
        <w:rPr>
          <w:rFonts w:asciiTheme="majorBidi" w:hAnsiTheme="majorBidi" w:cstheme="majorBidi"/>
          <w:sz w:val="28"/>
          <w:szCs w:val="28"/>
          <w:lang w:val="en"/>
        </w:rPr>
        <w:t>In adults, 75% of cases develop from precursors of the B-cell lineage, with the remainder of cases consisting of malignant T-cell precursors</w:t>
      </w:r>
      <w:r w:rsidR="006E40A7">
        <w:t xml:space="preserve">.  </w:t>
      </w:r>
      <w:r w:rsidR="006E40A7" w:rsidRPr="00215A01">
        <w:rPr>
          <w:rFonts w:asciiTheme="majorBidi" w:hAnsiTheme="majorBidi" w:cstheme="majorBidi"/>
          <w:sz w:val="28"/>
          <w:szCs w:val="28"/>
        </w:rPr>
        <w:t>ALL represents a devastating disease when it occurs in adults</w:t>
      </w:r>
      <w:r w:rsidR="006E40A7" w:rsidRPr="00215A01">
        <w:rPr>
          <w:rFonts w:asciiTheme="majorBidi" w:hAnsiTheme="majorBidi" w:cstheme="majorBidi"/>
          <w:b/>
          <w:bCs/>
          <w:i/>
          <w:iCs/>
          <w:sz w:val="28"/>
          <w:szCs w:val="28"/>
        </w:rPr>
        <w:t xml:space="preserve"> </w:t>
      </w:r>
      <w:r w:rsidRPr="00215A01">
        <w:rPr>
          <w:rFonts w:asciiTheme="majorBidi" w:hAnsiTheme="majorBidi" w:cstheme="majorBidi"/>
          <w:b/>
          <w:bCs/>
          <w:i/>
          <w:iCs/>
          <w:sz w:val="28"/>
          <w:szCs w:val="28"/>
        </w:rPr>
        <w:t>(</w:t>
      </w:r>
      <w:proofErr w:type="spellStart"/>
      <w:r w:rsidRPr="00215A01">
        <w:rPr>
          <w:rFonts w:asciiTheme="majorBidi" w:hAnsiTheme="majorBidi" w:cstheme="majorBidi"/>
          <w:b/>
          <w:bCs/>
          <w:i/>
          <w:iCs/>
          <w:sz w:val="28"/>
          <w:szCs w:val="28"/>
        </w:rPr>
        <w:t>Terwilliger</w:t>
      </w:r>
      <w:proofErr w:type="spellEnd"/>
      <w:r w:rsidRPr="00215A01">
        <w:rPr>
          <w:rFonts w:asciiTheme="majorBidi" w:hAnsiTheme="majorBidi" w:cstheme="majorBidi"/>
          <w:b/>
          <w:bCs/>
          <w:i/>
          <w:iCs/>
          <w:sz w:val="28"/>
          <w:szCs w:val="28"/>
        </w:rPr>
        <w:t xml:space="preserve"> and Abdul-Hay, 2017).</w:t>
      </w:r>
    </w:p>
    <w:p w:rsidR="004B52AA" w:rsidRDefault="006E40A7" w:rsidP="006E40A7">
      <w:pPr>
        <w:bidi w:val="0"/>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6E40A7">
        <w:rPr>
          <w:rFonts w:asciiTheme="majorBidi" w:hAnsiTheme="majorBidi" w:cstheme="majorBidi"/>
          <w:sz w:val="28"/>
          <w:szCs w:val="28"/>
        </w:rPr>
        <w:t xml:space="preserve">Acute lymphoblastic leukemia (ALL) is the most common cancer among children, which specifically involves </w:t>
      </w:r>
      <w:r>
        <w:rPr>
          <w:rFonts w:asciiTheme="majorBidi" w:hAnsiTheme="majorBidi" w:cstheme="majorBidi"/>
          <w:sz w:val="28"/>
          <w:szCs w:val="28"/>
        </w:rPr>
        <w:t>the precursors of B and T cells</w:t>
      </w:r>
      <w:r w:rsidR="00215A01" w:rsidRPr="006E40A7">
        <w:rPr>
          <w:rFonts w:asciiTheme="majorBidi" w:hAnsiTheme="majorBidi" w:cstheme="majorBidi"/>
          <w:sz w:val="28"/>
          <w:szCs w:val="28"/>
        </w:rPr>
        <w:t>.</w:t>
      </w:r>
      <w:r w:rsidR="00215A01" w:rsidRPr="00215A01">
        <w:rPr>
          <w:rFonts w:asciiTheme="majorBidi" w:hAnsiTheme="majorBidi" w:cstheme="majorBidi"/>
          <w:sz w:val="28"/>
          <w:szCs w:val="28"/>
        </w:rPr>
        <w:t xml:space="preserve"> Within the United States, the incidence of ALL is estimated</w:t>
      </w:r>
      <w:r w:rsidR="00215A01">
        <w:rPr>
          <w:rFonts w:asciiTheme="majorBidi" w:hAnsiTheme="majorBidi" w:cstheme="majorBidi"/>
          <w:sz w:val="28"/>
          <w:szCs w:val="28"/>
        </w:rPr>
        <w:t xml:space="preserve"> at 1.6 per 100 000 population.</w:t>
      </w:r>
      <w:r w:rsidR="00215A01" w:rsidRPr="00215A01">
        <w:rPr>
          <w:rFonts w:asciiTheme="majorBidi" w:hAnsiTheme="majorBidi" w:cstheme="majorBidi"/>
          <w:sz w:val="28"/>
          <w:szCs w:val="28"/>
        </w:rPr>
        <w:t xml:space="preserve"> In 2016 alone, an estimated 6590 new cases were diagnosed, with over 1400 deaths due to ALL (American Cancer Society). The incidence of ALL follows a bimodal distribution, with the first peak occurring in childhood and a second peak</w:t>
      </w:r>
      <w:r w:rsidR="00215A01">
        <w:rPr>
          <w:rFonts w:asciiTheme="majorBidi" w:hAnsiTheme="majorBidi" w:cstheme="majorBidi"/>
          <w:sz w:val="28"/>
          <w:szCs w:val="28"/>
        </w:rPr>
        <w:t xml:space="preserve"> occurring around the age of 50 </w:t>
      </w:r>
      <w:proofErr w:type="gramStart"/>
      <w:r w:rsidR="00215A01" w:rsidRPr="00215A01">
        <w:rPr>
          <w:rFonts w:asciiTheme="majorBidi" w:hAnsiTheme="majorBidi" w:cstheme="majorBidi"/>
          <w:b/>
          <w:bCs/>
          <w:i/>
          <w:iCs/>
          <w:sz w:val="32"/>
          <w:szCs w:val="32"/>
        </w:rPr>
        <w:t>( Kantarjian</w:t>
      </w:r>
      <w:proofErr w:type="gramEnd"/>
      <w:r w:rsidR="00215A01" w:rsidRPr="00215A01">
        <w:rPr>
          <w:rFonts w:asciiTheme="majorBidi" w:hAnsiTheme="majorBidi" w:cstheme="majorBidi"/>
          <w:b/>
          <w:bCs/>
          <w:i/>
          <w:iCs/>
          <w:sz w:val="32"/>
          <w:szCs w:val="32"/>
        </w:rPr>
        <w:t xml:space="preserve"> and </w:t>
      </w:r>
      <w:proofErr w:type="spellStart"/>
      <w:r w:rsidR="00215A01" w:rsidRPr="00215A01">
        <w:rPr>
          <w:rFonts w:asciiTheme="majorBidi" w:hAnsiTheme="majorBidi" w:cstheme="majorBidi"/>
          <w:b/>
          <w:bCs/>
          <w:i/>
          <w:iCs/>
          <w:sz w:val="32"/>
          <w:szCs w:val="32"/>
        </w:rPr>
        <w:t>Jabbour</w:t>
      </w:r>
      <w:proofErr w:type="spellEnd"/>
      <w:r w:rsidR="00215A01" w:rsidRPr="00215A01">
        <w:rPr>
          <w:rFonts w:asciiTheme="majorBidi" w:hAnsiTheme="majorBidi" w:cstheme="majorBidi"/>
          <w:b/>
          <w:bCs/>
          <w:i/>
          <w:iCs/>
          <w:sz w:val="32"/>
          <w:szCs w:val="32"/>
        </w:rPr>
        <w:t>, 2016).</w:t>
      </w:r>
    </w:p>
    <w:p w:rsidR="00AC6E74" w:rsidRPr="004B52AA" w:rsidRDefault="004B52AA" w:rsidP="004B52AA">
      <w:pPr>
        <w:bidi w:val="0"/>
        <w:spacing w:line="360" w:lineRule="auto"/>
        <w:jc w:val="lowKashida"/>
        <w:rPr>
          <w:rFonts w:asciiTheme="majorBidi" w:hAnsiTheme="majorBidi" w:cstheme="majorBidi"/>
          <w:sz w:val="28"/>
          <w:szCs w:val="28"/>
        </w:rPr>
      </w:pPr>
      <w:r w:rsidRPr="004B52AA">
        <w:rPr>
          <w:rFonts w:asciiTheme="majorBidi" w:hAnsiTheme="majorBidi" w:cstheme="majorBidi"/>
          <w:b/>
          <w:bCs/>
          <w:sz w:val="28"/>
          <w:szCs w:val="28"/>
        </w:rPr>
        <w:t>B</w:t>
      </w:r>
      <w:r>
        <w:rPr>
          <w:rFonts w:asciiTheme="majorBidi" w:hAnsiTheme="majorBidi" w:cstheme="majorBidi"/>
          <w:sz w:val="28"/>
          <w:szCs w:val="28"/>
        </w:rPr>
        <w:t>-</w:t>
      </w:r>
      <w:r w:rsidR="00BD7E17">
        <w:rPr>
          <w:rFonts w:asciiTheme="majorBidi" w:hAnsiTheme="majorBidi" w:cstheme="majorBidi"/>
          <w:sz w:val="28"/>
          <w:szCs w:val="28"/>
        </w:rPr>
        <w:t xml:space="preserve"> </w:t>
      </w:r>
      <w:r w:rsidR="00BD7E17" w:rsidRPr="00305D45">
        <w:rPr>
          <w:rFonts w:asciiTheme="majorBidi" w:hAnsiTheme="majorBidi" w:cstheme="majorBidi"/>
          <w:b/>
          <w:bCs/>
          <w:sz w:val="28"/>
          <w:szCs w:val="28"/>
          <w:u w:val="single"/>
        </w:rPr>
        <w:t>Pathophysiology:</w:t>
      </w:r>
    </w:p>
    <w:p w:rsidR="0086730D" w:rsidRDefault="00BD7E17" w:rsidP="0086730D">
      <w:pPr>
        <w:bidi w:val="0"/>
        <w:spacing w:line="360" w:lineRule="auto"/>
        <w:jc w:val="lowKashida"/>
        <w:rPr>
          <w:rFonts w:asciiTheme="majorBidi" w:hAnsiTheme="majorBidi" w:cstheme="majorBidi"/>
          <w:b/>
          <w:bCs/>
          <w:sz w:val="28"/>
          <w:szCs w:val="28"/>
        </w:rPr>
      </w:pPr>
      <w:r>
        <w:t xml:space="preserve">     </w:t>
      </w:r>
      <w:r w:rsidRPr="00BD7E17">
        <w:rPr>
          <w:rFonts w:asciiTheme="majorBidi" w:hAnsiTheme="majorBidi" w:cstheme="majorBidi"/>
          <w:sz w:val="28"/>
          <w:szCs w:val="28"/>
        </w:rPr>
        <w:t xml:space="preserve">Studies in the pediatric population have identified genetic syndromes that predispose to a minority of cases of ALL, such as Down syndrome, </w:t>
      </w:r>
      <w:proofErr w:type="spellStart"/>
      <w:r w:rsidRPr="00BD7E17">
        <w:rPr>
          <w:rFonts w:asciiTheme="majorBidi" w:hAnsiTheme="majorBidi" w:cstheme="majorBidi"/>
          <w:sz w:val="28"/>
          <w:szCs w:val="28"/>
        </w:rPr>
        <w:t>Fanconi</w:t>
      </w:r>
      <w:proofErr w:type="spellEnd"/>
      <w:r w:rsidRPr="00BD7E17">
        <w:rPr>
          <w:rFonts w:asciiTheme="majorBidi" w:hAnsiTheme="majorBidi" w:cstheme="majorBidi"/>
          <w:sz w:val="28"/>
          <w:szCs w:val="28"/>
        </w:rPr>
        <w:t xml:space="preserve"> anemia, Bloom syndrome, ataxia telangiectasia and</w:t>
      </w:r>
      <w:r w:rsidR="0086730D">
        <w:rPr>
          <w:rFonts w:asciiTheme="majorBidi" w:hAnsiTheme="majorBidi" w:cstheme="majorBidi"/>
          <w:sz w:val="28"/>
          <w:szCs w:val="28"/>
        </w:rPr>
        <w:t xml:space="preserve"> Nijmegen breakdown syndrome</w:t>
      </w:r>
      <w:r w:rsidR="0086730D" w:rsidRPr="0086730D">
        <w:rPr>
          <w:rFonts w:asciiTheme="majorBidi" w:hAnsiTheme="majorBidi" w:cstheme="majorBidi"/>
          <w:b/>
          <w:bCs/>
          <w:i/>
          <w:iCs/>
          <w:sz w:val="28"/>
          <w:szCs w:val="28"/>
        </w:rPr>
        <w:t>.</w:t>
      </w:r>
      <w:r w:rsidR="0086730D">
        <w:t xml:space="preserve"> </w:t>
      </w:r>
      <w:r w:rsidRPr="00BD7E17">
        <w:rPr>
          <w:rFonts w:asciiTheme="majorBidi" w:hAnsiTheme="majorBidi" w:cstheme="majorBidi"/>
          <w:sz w:val="28"/>
          <w:szCs w:val="28"/>
        </w:rPr>
        <w:t xml:space="preserve"> Other predisposing factors include exposure to ionizing radiation, pesticides, certain solvents or viruses such as </w:t>
      </w:r>
      <w:proofErr w:type="gramStart"/>
      <w:r w:rsidRPr="00BD7E17">
        <w:rPr>
          <w:rFonts w:asciiTheme="majorBidi" w:hAnsiTheme="majorBidi" w:cstheme="majorBidi"/>
          <w:sz w:val="28"/>
          <w:szCs w:val="28"/>
        </w:rPr>
        <w:t>Epstein-Barr Virus</w:t>
      </w:r>
      <w:proofErr w:type="gramEnd"/>
      <w:r w:rsidRPr="00BD7E17">
        <w:rPr>
          <w:rFonts w:asciiTheme="majorBidi" w:hAnsiTheme="majorBidi" w:cstheme="majorBidi"/>
          <w:sz w:val="28"/>
          <w:szCs w:val="28"/>
        </w:rPr>
        <w:t xml:space="preserve"> and Human Immunodeficiency Virus.</w:t>
      </w:r>
      <w:r w:rsidRPr="00BD7E17">
        <w:t xml:space="preserve"> </w:t>
      </w:r>
      <w:r w:rsidRPr="00BD7E17">
        <w:rPr>
          <w:rFonts w:asciiTheme="majorBidi" w:hAnsiTheme="majorBidi" w:cstheme="majorBidi"/>
          <w:sz w:val="28"/>
          <w:szCs w:val="28"/>
        </w:rPr>
        <w:t>However, in the majority of cases, it appears as a de novo malignancy in previously healthy individuals</w:t>
      </w:r>
      <w:r w:rsidR="0086730D">
        <w:rPr>
          <w:rFonts w:asciiTheme="majorBidi" w:hAnsiTheme="majorBidi" w:cstheme="majorBidi"/>
          <w:b/>
          <w:bCs/>
          <w:i/>
          <w:iCs/>
          <w:sz w:val="28"/>
          <w:szCs w:val="28"/>
        </w:rPr>
        <w:t xml:space="preserve"> </w:t>
      </w:r>
      <w:r w:rsidR="0086730D" w:rsidRPr="0086730D">
        <w:rPr>
          <w:rFonts w:asciiTheme="majorBidi" w:hAnsiTheme="majorBidi" w:cstheme="majorBidi"/>
          <w:b/>
          <w:bCs/>
          <w:i/>
          <w:iCs/>
          <w:sz w:val="28"/>
          <w:szCs w:val="28"/>
        </w:rPr>
        <w:t>(Shah et al. 2013)</w:t>
      </w:r>
      <w:r w:rsidR="0086730D">
        <w:rPr>
          <w:rFonts w:asciiTheme="majorBidi" w:hAnsiTheme="majorBidi" w:cstheme="majorBidi"/>
          <w:b/>
          <w:bCs/>
          <w:sz w:val="28"/>
          <w:szCs w:val="28"/>
        </w:rPr>
        <w:t>.</w:t>
      </w:r>
    </w:p>
    <w:p w:rsidR="00D51913" w:rsidRDefault="00D51913" w:rsidP="0086730D">
      <w:pPr>
        <w:bidi w:val="0"/>
        <w:spacing w:line="360" w:lineRule="auto"/>
        <w:jc w:val="lowKashida"/>
        <w:rPr>
          <w:rFonts w:asciiTheme="majorBidi" w:hAnsiTheme="majorBidi" w:cstheme="majorBidi"/>
          <w:b/>
          <w:bCs/>
          <w:sz w:val="28"/>
          <w:szCs w:val="28"/>
        </w:rPr>
      </w:pPr>
    </w:p>
    <w:p w:rsidR="00D51913" w:rsidRDefault="00D51913" w:rsidP="00D51913">
      <w:pPr>
        <w:bidi w:val="0"/>
        <w:spacing w:line="360" w:lineRule="auto"/>
        <w:jc w:val="lowKashida"/>
        <w:rPr>
          <w:rFonts w:asciiTheme="majorBidi" w:hAnsiTheme="majorBidi" w:cstheme="majorBidi"/>
          <w:b/>
          <w:bCs/>
          <w:sz w:val="28"/>
          <w:szCs w:val="28"/>
        </w:rPr>
      </w:pPr>
    </w:p>
    <w:p w:rsidR="00D51913" w:rsidRPr="00305D45" w:rsidRDefault="004B52AA" w:rsidP="0072128F">
      <w:pPr>
        <w:bidi w:val="0"/>
        <w:spacing w:line="360" w:lineRule="auto"/>
        <w:jc w:val="lowKashida"/>
        <w:rPr>
          <w:rFonts w:asciiTheme="majorBidi" w:hAnsiTheme="majorBidi" w:cstheme="majorBidi"/>
          <w:b/>
          <w:bCs/>
          <w:sz w:val="28"/>
          <w:szCs w:val="28"/>
          <w:u w:val="single"/>
        </w:rPr>
      </w:pPr>
      <w:r>
        <w:rPr>
          <w:rFonts w:asciiTheme="majorBidi" w:hAnsiTheme="majorBidi" w:cstheme="majorBidi"/>
          <w:b/>
          <w:bCs/>
          <w:sz w:val="28"/>
          <w:szCs w:val="28"/>
        </w:rPr>
        <w:lastRenderedPageBreak/>
        <w:t xml:space="preserve">C- </w:t>
      </w:r>
      <w:r w:rsidR="00D51913" w:rsidRPr="00305D45">
        <w:rPr>
          <w:rFonts w:asciiTheme="majorBidi" w:hAnsiTheme="majorBidi" w:cstheme="majorBidi"/>
          <w:b/>
          <w:bCs/>
          <w:sz w:val="28"/>
          <w:szCs w:val="28"/>
          <w:u w:val="single"/>
        </w:rPr>
        <w:t xml:space="preserve">Classification: </w:t>
      </w:r>
    </w:p>
    <w:p w:rsidR="00D51913" w:rsidRPr="00D51913" w:rsidRDefault="00BB655E" w:rsidP="00D51913">
      <w:pPr>
        <w:bidi w:val="0"/>
        <w:spacing w:line="360" w:lineRule="auto"/>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00D51913" w:rsidRPr="00D51913">
        <w:rPr>
          <w:rFonts w:asciiTheme="majorBidi" w:hAnsiTheme="majorBidi" w:cstheme="majorBidi"/>
          <w:sz w:val="28"/>
          <w:szCs w:val="28"/>
        </w:rPr>
        <w:t>In 1997, the World Health Organization proposed a composite classification in attempt to account for morphology and cytogenetic profile of the leukemic blasts and identified three types of ALL: B lymphoblastic, T lymphobl</w:t>
      </w:r>
      <w:r w:rsidR="00D51913">
        <w:rPr>
          <w:rFonts w:asciiTheme="majorBidi" w:hAnsiTheme="majorBidi" w:cstheme="majorBidi"/>
          <w:sz w:val="28"/>
          <w:szCs w:val="28"/>
        </w:rPr>
        <w:t xml:space="preserve">astic and </w:t>
      </w:r>
      <w:proofErr w:type="spellStart"/>
      <w:r w:rsidR="00D51913">
        <w:rPr>
          <w:rFonts w:asciiTheme="majorBidi" w:hAnsiTheme="majorBidi" w:cstheme="majorBidi"/>
          <w:sz w:val="28"/>
          <w:szCs w:val="28"/>
        </w:rPr>
        <w:t>Burkitt</w:t>
      </w:r>
      <w:proofErr w:type="spellEnd"/>
      <w:r w:rsidR="00D51913">
        <w:rPr>
          <w:rFonts w:asciiTheme="majorBidi" w:hAnsiTheme="majorBidi" w:cstheme="majorBidi"/>
          <w:sz w:val="28"/>
          <w:szCs w:val="28"/>
        </w:rPr>
        <w:t xml:space="preserve">-cell Leukemia </w:t>
      </w:r>
      <w:r w:rsidR="00D51913" w:rsidRPr="00D51913">
        <w:rPr>
          <w:rFonts w:asciiTheme="majorBidi" w:hAnsiTheme="majorBidi" w:cstheme="majorBidi"/>
          <w:b/>
          <w:bCs/>
          <w:i/>
          <w:iCs/>
          <w:sz w:val="28"/>
          <w:szCs w:val="28"/>
        </w:rPr>
        <w:t xml:space="preserve">(Harris et al., 1997). </w:t>
      </w:r>
    </w:p>
    <w:p w:rsidR="00BB655E" w:rsidRDefault="00D51913" w:rsidP="00F422D7">
      <w:pPr>
        <w:bidi w:val="0"/>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A71910">
        <w:rPr>
          <w:rFonts w:asciiTheme="majorBidi" w:hAnsiTheme="majorBidi" w:cstheme="majorBidi"/>
          <w:sz w:val="28"/>
          <w:szCs w:val="28"/>
        </w:rPr>
        <w:t xml:space="preserve"> </w:t>
      </w:r>
      <w:r>
        <w:rPr>
          <w:rFonts w:asciiTheme="majorBidi" w:hAnsiTheme="majorBidi" w:cstheme="majorBidi"/>
          <w:sz w:val="28"/>
          <w:szCs w:val="28"/>
        </w:rPr>
        <w:t>I</w:t>
      </w:r>
      <w:r w:rsidRPr="00D51913">
        <w:rPr>
          <w:rFonts w:asciiTheme="majorBidi" w:hAnsiTheme="majorBidi" w:cstheme="majorBidi"/>
          <w:sz w:val="28"/>
          <w:szCs w:val="28"/>
        </w:rPr>
        <w:t xml:space="preserve">n 2008, </w:t>
      </w:r>
      <w:proofErr w:type="spellStart"/>
      <w:r w:rsidRPr="00D51913">
        <w:rPr>
          <w:rFonts w:asciiTheme="majorBidi" w:hAnsiTheme="majorBidi" w:cstheme="majorBidi"/>
          <w:sz w:val="28"/>
          <w:szCs w:val="28"/>
        </w:rPr>
        <w:t>Burkitt</w:t>
      </w:r>
      <w:proofErr w:type="spellEnd"/>
      <w:r w:rsidRPr="00D51913">
        <w:rPr>
          <w:rFonts w:asciiTheme="majorBidi" w:hAnsiTheme="majorBidi" w:cstheme="majorBidi"/>
          <w:sz w:val="28"/>
          <w:szCs w:val="28"/>
        </w:rPr>
        <w:t xml:space="preserve">-cell Leukemia was eliminated as it is no longer seen as a separate entity from </w:t>
      </w:r>
      <w:proofErr w:type="spellStart"/>
      <w:r w:rsidRPr="00D51913">
        <w:rPr>
          <w:rFonts w:asciiTheme="majorBidi" w:hAnsiTheme="majorBidi" w:cstheme="majorBidi"/>
          <w:sz w:val="28"/>
          <w:szCs w:val="28"/>
        </w:rPr>
        <w:t>Burkitt</w:t>
      </w:r>
      <w:proofErr w:type="spellEnd"/>
      <w:r w:rsidRPr="00D51913">
        <w:rPr>
          <w:rFonts w:asciiTheme="majorBidi" w:hAnsiTheme="majorBidi" w:cstheme="majorBidi"/>
          <w:sz w:val="28"/>
          <w:szCs w:val="28"/>
        </w:rPr>
        <w:t xml:space="preserve"> Lymphoma, and B-lymphoblastic leukemia was divided into two subtypes: </w:t>
      </w:r>
      <w:r w:rsidR="00F422D7" w:rsidRPr="00D51913">
        <w:rPr>
          <w:rFonts w:asciiTheme="majorBidi" w:hAnsiTheme="majorBidi" w:cstheme="majorBidi"/>
          <w:sz w:val="28"/>
          <w:szCs w:val="28"/>
        </w:rPr>
        <w:t xml:space="preserve">B-ALL with recurrent genetic abnormalities </w:t>
      </w:r>
      <w:r w:rsidRPr="00D51913">
        <w:rPr>
          <w:rFonts w:asciiTheme="majorBidi" w:hAnsiTheme="majorBidi" w:cstheme="majorBidi"/>
          <w:sz w:val="28"/>
          <w:szCs w:val="28"/>
        </w:rPr>
        <w:t>and B-ALL not otherwise specified</w:t>
      </w:r>
      <w:r w:rsidR="00A71910">
        <w:rPr>
          <w:rFonts w:asciiTheme="majorBidi" w:hAnsiTheme="majorBidi" w:cstheme="majorBidi"/>
          <w:sz w:val="28"/>
          <w:szCs w:val="28"/>
        </w:rPr>
        <w:t xml:space="preserve"> </w:t>
      </w:r>
      <w:r w:rsidR="00A71910" w:rsidRPr="00A71910">
        <w:rPr>
          <w:rFonts w:asciiTheme="majorBidi" w:hAnsiTheme="majorBidi" w:cstheme="majorBidi"/>
          <w:b/>
          <w:bCs/>
          <w:i/>
          <w:iCs/>
          <w:sz w:val="28"/>
          <w:szCs w:val="28"/>
        </w:rPr>
        <w:t>(</w:t>
      </w:r>
      <w:proofErr w:type="spellStart"/>
      <w:r w:rsidR="00A71910" w:rsidRPr="00A71910">
        <w:rPr>
          <w:rFonts w:asciiTheme="majorBidi" w:hAnsiTheme="majorBidi" w:cstheme="majorBidi"/>
          <w:b/>
          <w:bCs/>
          <w:i/>
          <w:iCs/>
          <w:sz w:val="28"/>
          <w:szCs w:val="28"/>
        </w:rPr>
        <w:t>Vardiman</w:t>
      </w:r>
      <w:proofErr w:type="spellEnd"/>
      <w:r w:rsidR="00A71910" w:rsidRPr="00A71910">
        <w:rPr>
          <w:rFonts w:asciiTheme="majorBidi" w:hAnsiTheme="majorBidi" w:cstheme="majorBidi"/>
          <w:b/>
          <w:bCs/>
          <w:i/>
          <w:iCs/>
          <w:sz w:val="28"/>
          <w:szCs w:val="28"/>
        </w:rPr>
        <w:t xml:space="preserve"> et al.</w:t>
      </w:r>
      <w:r w:rsidR="00AD7713">
        <w:rPr>
          <w:rFonts w:asciiTheme="majorBidi" w:hAnsiTheme="majorBidi" w:cstheme="majorBidi"/>
          <w:b/>
          <w:bCs/>
          <w:i/>
          <w:iCs/>
          <w:sz w:val="28"/>
          <w:szCs w:val="28"/>
        </w:rPr>
        <w:t>,</w:t>
      </w:r>
      <w:r w:rsidR="00A71910" w:rsidRPr="00A71910">
        <w:rPr>
          <w:rFonts w:asciiTheme="majorBidi" w:hAnsiTheme="majorBidi" w:cstheme="majorBidi"/>
          <w:b/>
          <w:bCs/>
          <w:i/>
          <w:iCs/>
          <w:sz w:val="28"/>
          <w:szCs w:val="28"/>
        </w:rPr>
        <w:t xml:space="preserve"> 2009)</w:t>
      </w:r>
      <w:r w:rsidRPr="00A71910">
        <w:rPr>
          <w:rFonts w:asciiTheme="majorBidi" w:hAnsiTheme="majorBidi" w:cstheme="majorBidi"/>
          <w:b/>
          <w:bCs/>
          <w:i/>
          <w:iCs/>
          <w:sz w:val="28"/>
          <w:szCs w:val="28"/>
        </w:rPr>
        <w:t>.</w:t>
      </w:r>
      <w:r w:rsidR="00C70A5C" w:rsidRPr="00C70A5C">
        <w:rPr>
          <w:rFonts w:asciiTheme="majorBidi" w:hAnsiTheme="majorBidi" w:cstheme="majorBidi"/>
          <w:sz w:val="28"/>
          <w:szCs w:val="28"/>
        </w:rPr>
        <w:t xml:space="preserve"> </w:t>
      </w:r>
    </w:p>
    <w:p w:rsidR="00F422D7" w:rsidRPr="00F422D7" w:rsidRDefault="00F422D7" w:rsidP="00F422D7">
      <w:pPr>
        <w:bidi w:val="0"/>
        <w:spacing w:line="360" w:lineRule="auto"/>
        <w:jc w:val="lowKashida"/>
        <w:rPr>
          <w:rFonts w:asciiTheme="majorBidi" w:hAnsiTheme="majorBidi" w:cstheme="majorBidi"/>
          <w:b/>
          <w:bCs/>
          <w:sz w:val="28"/>
          <w:szCs w:val="28"/>
        </w:rPr>
      </w:pPr>
      <w:r w:rsidRPr="00F422D7">
        <w:rPr>
          <w:rFonts w:asciiTheme="majorBidi" w:hAnsiTheme="majorBidi" w:cstheme="majorBidi"/>
          <w:b/>
          <w:bCs/>
          <w:sz w:val="28"/>
          <w:szCs w:val="28"/>
        </w:rPr>
        <w:t>1- B-ALL with recurrent genetic abnormalities</w:t>
      </w:r>
      <w:r>
        <w:rPr>
          <w:rFonts w:asciiTheme="majorBidi" w:hAnsiTheme="majorBidi" w:cstheme="majorBidi"/>
          <w:b/>
          <w:bCs/>
          <w:sz w:val="28"/>
          <w:szCs w:val="28"/>
        </w:rPr>
        <w:t>:</w:t>
      </w:r>
    </w:p>
    <w:p w:rsidR="00A71910" w:rsidRDefault="00BB655E" w:rsidP="00F422D7">
      <w:pPr>
        <w:bidi w:val="0"/>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FB4873">
        <w:rPr>
          <w:rFonts w:asciiTheme="majorBidi" w:hAnsiTheme="majorBidi" w:cstheme="majorBidi"/>
          <w:sz w:val="28"/>
          <w:szCs w:val="28"/>
        </w:rPr>
        <w:t xml:space="preserve">   </w:t>
      </w:r>
      <w:r w:rsidR="00C70A5C" w:rsidRPr="00D51913">
        <w:rPr>
          <w:rFonts w:asciiTheme="majorBidi" w:hAnsiTheme="majorBidi" w:cstheme="majorBidi"/>
          <w:sz w:val="28"/>
          <w:szCs w:val="28"/>
        </w:rPr>
        <w:t>In adults, B-cell ALL accounts for ~ 75% of cases while T-cell ALL comprises the remaining cases</w:t>
      </w:r>
      <w:r w:rsidR="00C70A5C">
        <w:t>.</w:t>
      </w:r>
      <w:r>
        <w:rPr>
          <w:rFonts w:asciiTheme="majorBidi" w:hAnsiTheme="majorBidi" w:cstheme="majorBidi"/>
          <w:sz w:val="28"/>
          <w:szCs w:val="28"/>
        </w:rPr>
        <w:t xml:space="preserve">  </w:t>
      </w:r>
      <w:r w:rsidR="00F422D7">
        <w:rPr>
          <w:rFonts w:asciiTheme="majorBidi" w:hAnsiTheme="majorBidi" w:cstheme="majorBidi"/>
          <w:sz w:val="28"/>
          <w:szCs w:val="28"/>
        </w:rPr>
        <w:t>T</w:t>
      </w:r>
      <w:r w:rsidR="00D51913" w:rsidRPr="00D51913">
        <w:rPr>
          <w:rFonts w:asciiTheme="majorBidi" w:hAnsiTheme="majorBidi" w:cstheme="majorBidi"/>
          <w:sz w:val="28"/>
          <w:szCs w:val="28"/>
        </w:rPr>
        <w:t>wo new provisional entities were added to the list of recu</w:t>
      </w:r>
      <w:r w:rsidR="00C70A5C">
        <w:rPr>
          <w:rFonts w:asciiTheme="majorBidi" w:hAnsiTheme="majorBidi" w:cstheme="majorBidi"/>
          <w:sz w:val="28"/>
          <w:szCs w:val="28"/>
        </w:rPr>
        <w:t xml:space="preserve">rrent genetic </w:t>
      </w:r>
      <w:proofErr w:type="gramStart"/>
      <w:r w:rsidR="00C70A5C">
        <w:rPr>
          <w:rFonts w:asciiTheme="majorBidi" w:hAnsiTheme="majorBidi" w:cstheme="majorBidi"/>
          <w:sz w:val="28"/>
          <w:szCs w:val="28"/>
        </w:rPr>
        <w:t>abnormalities ,</w:t>
      </w:r>
      <w:proofErr w:type="gramEnd"/>
      <w:r w:rsidR="00C70A5C">
        <w:rPr>
          <w:rFonts w:asciiTheme="majorBidi" w:hAnsiTheme="majorBidi" w:cstheme="majorBidi"/>
          <w:sz w:val="28"/>
          <w:szCs w:val="28"/>
        </w:rPr>
        <w:t xml:space="preserve"> </w:t>
      </w:r>
      <w:proofErr w:type="spellStart"/>
      <w:r w:rsidR="00D51913" w:rsidRPr="00D51913">
        <w:rPr>
          <w:rFonts w:asciiTheme="majorBidi" w:hAnsiTheme="majorBidi" w:cstheme="majorBidi"/>
          <w:sz w:val="28"/>
          <w:szCs w:val="28"/>
        </w:rPr>
        <w:t>hypodiploid</w:t>
      </w:r>
      <w:proofErr w:type="spellEnd"/>
      <w:r w:rsidR="00D51913" w:rsidRPr="00D51913">
        <w:rPr>
          <w:rFonts w:asciiTheme="majorBidi" w:hAnsiTheme="majorBidi" w:cstheme="majorBidi"/>
          <w:sz w:val="28"/>
          <w:szCs w:val="28"/>
        </w:rPr>
        <w:t xml:space="preserve"> </w:t>
      </w:r>
      <w:r w:rsidR="00C70A5C">
        <w:rPr>
          <w:rFonts w:asciiTheme="majorBidi" w:hAnsiTheme="majorBidi" w:cstheme="majorBidi"/>
          <w:sz w:val="28"/>
          <w:szCs w:val="28"/>
        </w:rPr>
        <w:t xml:space="preserve">and low </w:t>
      </w:r>
      <w:proofErr w:type="spellStart"/>
      <w:r w:rsidR="00D51913" w:rsidRPr="00D51913">
        <w:rPr>
          <w:rFonts w:asciiTheme="majorBidi" w:hAnsiTheme="majorBidi" w:cstheme="majorBidi"/>
          <w:sz w:val="28"/>
          <w:szCs w:val="28"/>
        </w:rPr>
        <w:t>hypodiploid</w:t>
      </w:r>
      <w:proofErr w:type="spellEnd"/>
      <w:r w:rsidR="00D51913" w:rsidRPr="00D51913">
        <w:rPr>
          <w:rFonts w:asciiTheme="majorBidi" w:hAnsiTheme="majorBidi" w:cstheme="majorBidi"/>
          <w:sz w:val="28"/>
          <w:szCs w:val="28"/>
        </w:rPr>
        <w:t xml:space="preserve"> with TP53 mutations </w:t>
      </w:r>
      <w:r w:rsidR="00A71910" w:rsidRPr="00A71910">
        <w:rPr>
          <w:rFonts w:asciiTheme="majorBidi" w:hAnsiTheme="majorBidi" w:cstheme="majorBidi"/>
          <w:b/>
          <w:bCs/>
          <w:i/>
          <w:iCs/>
          <w:sz w:val="28"/>
          <w:szCs w:val="28"/>
        </w:rPr>
        <w:t>(Arber et al., 2016).</w:t>
      </w:r>
    </w:p>
    <w:p w:rsidR="00281FCF" w:rsidRPr="00281FCF" w:rsidRDefault="0072128F" w:rsidP="00281FCF">
      <w:pPr>
        <w:bidi w:val="0"/>
        <w:spacing w:line="360" w:lineRule="auto"/>
        <w:jc w:val="lowKashida"/>
        <w:rPr>
          <w:rFonts w:asciiTheme="majorBidi" w:hAnsiTheme="majorBidi" w:cstheme="majorBidi"/>
          <w:b/>
          <w:bCs/>
          <w:i/>
          <w:iCs/>
          <w:sz w:val="28"/>
          <w:szCs w:val="28"/>
        </w:rPr>
      </w:pPr>
      <w:r>
        <w:t xml:space="preserve">     </w:t>
      </w:r>
      <w:r w:rsidR="00FB4873">
        <w:t xml:space="preserve"> </w:t>
      </w:r>
      <w:r>
        <w:t xml:space="preserve"> </w:t>
      </w:r>
      <w:r w:rsidRPr="0072128F">
        <w:rPr>
          <w:rFonts w:asciiTheme="majorBidi" w:hAnsiTheme="majorBidi" w:cstheme="majorBidi"/>
          <w:sz w:val="28"/>
          <w:szCs w:val="28"/>
        </w:rPr>
        <w:t xml:space="preserve">Chromosomal aberrations are the hallmark of ALL, but are not sufficient to generate leukemia. Characteristic translocations include </w:t>
      </w:r>
      <w:proofErr w:type="gramStart"/>
      <w:r w:rsidRPr="0072128F">
        <w:rPr>
          <w:rFonts w:asciiTheme="majorBidi" w:hAnsiTheme="majorBidi" w:cstheme="majorBidi"/>
          <w:sz w:val="28"/>
          <w:szCs w:val="28"/>
        </w:rPr>
        <w:t>t(</w:t>
      </w:r>
      <w:proofErr w:type="gramEnd"/>
      <w:r w:rsidRPr="0072128F">
        <w:rPr>
          <w:rFonts w:asciiTheme="majorBidi" w:hAnsiTheme="majorBidi" w:cstheme="majorBidi"/>
          <w:sz w:val="28"/>
          <w:szCs w:val="28"/>
        </w:rPr>
        <w:t xml:space="preserve">12;21) [ETV6-RUNX1], t(1;19) [TCF3-PBX1], t(9;22) [BCR-ABL1] </w:t>
      </w:r>
      <w:proofErr w:type="spellStart"/>
      <w:r w:rsidRPr="0072128F">
        <w:rPr>
          <w:rFonts w:asciiTheme="majorBidi" w:hAnsiTheme="majorBidi" w:cstheme="majorBidi"/>
          <w:sz w:val="28"/>
          <w:szCs w:val="28"/>
        </w:rPr>
        <w:t>Ph</w:t>
      </w:r>
      <w:proofErr w:type="spellEnd"/>
      <w:r w:rsidRPr="0072128F">
        <w:rPr>
          <w:rFonts w:asciiTheme="majorBidi" w:hAnsiTheme="majorBidi" w:cstheme="majorBidi"/>
          <w:sz w:val="28"/>
          <w:szCs w:val="28"/>
        </w:rPr>
        <w:t>-positive ALL</w:t>
      </w:r>
      <w:r>
        <w:rPr>
          <w:rFonts w:asciiTheme="majorBidi" w:hAnsiTheme="majorBidi" w:cstheme="majorBidi"/>
          <w:sz w:val="28"/>
          <w:szCs w:val="28"/>
        </w:rPr>
        <w:t xml:space="preserve">. </w:t>
      </w:r>
      <w:r w:rsidRPr="0072128F">
        <w:rPr>
          <w:rFonts w:asciiTheme="majorBidi" w:hAnsiTheme="majorBidi" w:cstheme="majorBidi"/>
          <w:sz w:val="28"/>
          <w:szCs w:val="28"/>
        </w:rPr>
        <w:t>More recently, a variant with a similar gene</w:t>
      </w:r>
      <w:r>
        <w:rPr>
          <w:rFonts w:asciiTheme="majorBidi" w:hAnsiTheme="majorBidi" w:cstheme="majorBidi"/>
          <w:sz w:val="28"/>
          <w:szCs w:val="28"/>
        </w:rPr>
        <w:t xml:space="preserve"> </w:t>
      </w:r>
      <w:r w:rsidRPr="0072128F">
        <w:rPr>
          <w:rFonts w:asciiTheme="majorBidi" w:hAnsiTheme="majorBidi" w:cstheme="majorBidi"/>
          <w:sz w:val="28"/>
          <w:szCs w:val="28"/>
        </w:rPr>
        <w:t xml:space="preserve">expression profile to (Philadelphia) </w:t>
      </w:r>
      <w:proofErr w:type="spellStart"/>
      <w:r w:rsidRPr="0072128F">
        <w:rPr>
          <w:rFonts w:asciiTheme="majorBidi" w:hAnsiTheme="majorBidi" w:cstheme="majorBidi"/>
          <w:sz w:val="28"/>
          <w:szCs w:val="28"/>
        </w:rPr>
        <w:t>Ph</w:t>
      </w:r>
      <w:proofErr w:type="spellEnd"/>
      <w:r w:rsidRPr="0072128F">
        <w:rPr>
          <w:rFonts w:asciiTheme="majorBidi" w:hAnsiTheme="majorBidi" w:cstheme="majorBidi"/>
          <w:sz w:val="28"/>
          <w:szCs w:val="28"/>
        </w:rPr>
        <w:t xml:space="preserve">-positive ALL but without the BCR-ABL1 rearrangement has been </w:t>
      </w:r>
      <w:proofErr w:type="gramStart"/>
      <w:r w:rsidRPr="0072128F">
        <w:rPr>
          <w:rFonts w:asciiTheme="majorBidi" w:hAnsiTheme="majorBidi" w:cstheme="majorBidi"/>
          <w:sz w:val="28"/>
          <w:szCs w:val="28"/>
        </w:rPr>
        <w:t>identified</w:t>
      </w:r>
      <w:r w:rsidR="00281FCF" w:rsidRPr="00281FCF">
        <w:rPr>
          <w:rFonts w:asciiTheme="majorBidi" w:hAnsiTheme="majorBidi" w:cstheme="majorBidi"/>
          <w:sz w:val="28"/>
          <w:szCs w:val="28"/>
        </w:rPr>
        <w:t xml:space="preserve"> </w:t>
      </w:r>
      <w:r w:rsidR="00281FCF">
        <w:rPr>
          <w:rFonts w:asciiTheme="majorBidi" w:hAnsiTheme="majorBidi" w:cstheme="majorBidi"/>
          <w:sz w:val="28"/>
          <w:szCs w:val="28"/>
        </w:rPr>
        <w:t>,</w:t>
      </w:r>
      <w:r w:rsidR="00281FCF" w:rsidRPr="0072128F">
        <w:rPr>
          <w:rFonts w:asciiTheme="majorBidi" w:hAnsiTheme="majorBidi" w:cstheme="majorBidi"/>
          <w:sz w:val="28"/>
          <w:szCs w:val="28"/>
        </w:rPr>
        <w:t>this</w:t>
      </w:r>
      <w:proofErr w:type="gramEnd"/>
      <w:r w:rsidR="00281FCF" w:rsidRPr="0072128F">
        <w:rPr>
          <w:rFonts w:asciiTheme="majorBidi" w:hAnsiTheme="majorBidi" w:cstheme="majorBidi"/>
          <w:sz w:val="28"/>
          <w:szCs w:val="28"/>
        </w:rPr>
        <w:t xml:space="preserve"> so-called </w:t>
      </w:r>
      <w:proofErr w:type="spellStart"/>
      <w:r w:rsidR="00281FCF" w:rsidRPr="0072128F">
        <w:rPr>
          <w:rFonts w:asciiTheme="majorBidi" w:hAnsiTheme="majorBidi" w:cstheme="majorBidi"/>
          <w:sz w:val="28"/>
          <w:szCs w:val="28"/>
        </w:rPr>
        <w:t>Ph</w:t>
      </w:r>
      <w:proofErr w:type="spellEnd"/>
      <w:r w:rsidR="00281FCF" w:rsidRPr="0072128F">
        <w:rPr>
          <w:rFonts w:asciiTheme="majorBidi" w:hAnsiTheme="majorBidi" w:cstheme="majorBidi"/>
          <w:sz w:val="28"/>
          <w:szCs w:val="28"/>
        </w:rPr>
        <w:t>-like ALL</w:t>
      </w:r>
      <w:r w:rsidR="00281FCF">
        <w:rPr>
          <w:rFonts w:asciiTheme="majorBidi" w:hAnsiTheme="majorBidi" w:cstheme="majorBidi"/>
          <w:sz w:val="28"/>
          <w:szCs w:val="28"/>
        </w:rPr>
        <w:t xml:space="preserve"> </w:t>
      </w:r>
      <w:r w:rsidR="00281FCF" w:rsidRPr="00281FCF">
        <w:rPr>
          <w:rFonts w:asciiTheme="majorBidi" w:hAnsiTheme="majorBidi" w:cstheme="majorBidi"/>
          <w:b/>
          <w:bCs/>
          <w:i/>
          <w:iCs/>
          <w:sz w:val="28"/>
          <w:szCs w:val="28"/>
        </w:rPr>
        <w:t>(</w:t>
      </w:r>
      <w:proofErr w:type="spellStart"/>
      <w:r w:rsidR="00281FCF" w:rsidRPr="00281FCF">
        <w:rPr>
          <w:rFonts w:asciiTheme="majorBidi" w:hAnsiTheme="majorBidi" w:cstheme="majorBidi"/>
          <w:b/>
          <w:bCs/>
          <w:i/>
          <w:iCs/>
          <w:sz w:val="28"/>
          <w:szCs w:val="28"/>
        </w:rPr>
        <w:t>Mullighan</w:t>
      </w:r>
      <w:proofErr w:type="spellEnd"/>
      <w:r w:rsidR="00281FCF" w:rsidRPr="00281FCF">
        <w:rPr>
          <w:rFonts w:asciiTheme="majorBidi" w:hAnsiTheme="majorBidi" w:cstheme="majorBidi"/>
          <w:b/>
          <w:bCs/>
          <w:i/>
          <w:iCs/>
          <w:sz w:val="28"/>
          <w:szCs w:val="28"/>
        </w:rPr>
        <w:t xml:space="preserve"> et al., 2009).</w:t>
      </w:r>
    </w:p>
    <w:p w:rsidR="0072128F" w:rsidRPr="00281FCF" w:rsidRDefault="00C70A5C" w:rsidP="00281FCF">
      <w:pPr>
        <w:bidi w:val="0"/>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FB4873">
        <w:rPr>
          <w:rFonts w:asciiTheme="majorBidi" w:hAnsiTheme="majorBidi" w:cstheme="majorBidi"/>
          <w:sz w:val="28"/>
          <w:szCs w:val="28"/>
        </w:rPr>
        <w:t xml:space="preserve">   </w:t>
      </w:r>
      <w:r w:rsidR="00281FCF">
        <w:rPr>
          <w:rFonts w:asciiTheme="majorBidi" w:hAnsiTheme="majorBidi" w:cstheme="majorBidi"/>
          <w:sz w:val="28"/>
          <w:szCs w:val="28"/>
        </w:rPr>
        <w:t>T</w:t>
      </w:r>
      <w:r w:rsidR="0072128F" w:rsidRPr="0072128F">
        <w:rPr>
          <w:rFonts w:asciiTheme="majorBidi" w:hAnsiTheme="majorBidi" w:cstheme="majorBidi"/>
          <w:sz w:val="28"/>
          <w:szCs w:val="28"/>
        </w:rPr>
        <w:t>ranscription factor 3 (E2A), early B-cell factor 1</w:t>
      </w:r>
      <w:r w:rsidR="00281FCF">
        <w:rPr>
          <w:rFonts w:asciiTheme="majorBidi" w:hAnsiTheme="majorBidi" w:cstheme="majorBidi"/>
          <w:sz w:val="28"/>
          <w:szCs w:val="28"/>
        </w:rPr>
        <w:t xml:space="preserve"> (EBF1</w:t>
      </w:r>
      <w:proofErr w:type="gramStart"/>
      <w:r w:rsidR="00281FCF">
        <w:rPr>
          <w:rFonts w:asciiTheme="majorBidi" w:hAnsiTheme="majorBidi" w:cstheme="majorBidi"/>
          <w:sz w:val="28"/>
          <w:szCs w:val="28"/>
        </w:rPr>
        <w:t>) ,</w:t>
      </w:r>
      <w:proofErr w:type="gramEnd"/>
      <w:r w:rsidR="00281FCF">
        <w:rPr>
          <w:rFonts w:asciiTheme="majorBidi" w:hAnsiTheme="majorBidi" w:cstheme="majorBidi"/>
          <w:sz w:val="28"/>
          <w:szCs w:val="28"/>
        </w:rPr>
        <w:t xml:space="preserve"> paired box 5 (PAX5) and</w:t>
      </w:r>
      <w:r w:rsidR="0072128F" w:rsidRPr="0072128F">
        <w:rPr>
          <w:rFonts w:asciiTheme="majorBidi" w:hAnsiTheme="majorBidi" w:cstheme="majorBidi"/>
          <w:sz w:val="28"/>
          <w:szCs w:val="28"/>
        </w:rPr>
        <w:t xml:space="preserve"> kinase-activating mutations are seen in 90% of the </w:t>
      </w:r>
      <w:proofErr w:type="spellStart"/>
      <w:r w:rsidR="0072128F" w:rsidRPr="0072128F">
        <w:rPr>
          <w:rFonts w:asciiTheme="majorBidi" w:hAnsiTheme="majorBidi" w:cstheme="majorBidi"/>
          <w:sz w:val="28"/>
          <w:szCs w:val="28"/>
        </w:rPr>
        <w:t>Ph</w:t>
      </w:r>
      <w:proofErr w:type="spellEnd"/>
      <w:r w:rsidR="0072128F" w:rsidRPr="0072128F">
        <w:rPr>
          <w:rFonts w:asciiTheme="majorBidi" w:hAnsiTheme="majorBidi" w:cstheme="majorBidi"/>
          <w:sz w:val="28"/>
          <w:szCs w:val="28"/>
        </w:rPr>
        <w:t>-</w:t>
      </w:r>
      <w:r w:rsidR="0072128F" w:rsidRPr="0072128F">
        <w:rPr>
          <w:rFonts w:asciiTheme="majorBidi" w:hAnsiTheme="majorBidi" w:cstheme="majorBidi"/>
          <w:sz w:val="28"/>
          <w:szCs w:val="28"/>
        </w:rPr>
        <w:lastRenderedPageBreak/>
        <w:t>like ALL. The most common of these include rearrangements involving ABL1, JAK2, PDGFRB, CRLF2 and EPOR</w:t>
      </w:r>
      <w:r w:rsidR="00281FCF">
        <w:rPr>
          <w:rFonts w:asciiTheme="majorBidi" w:hAnsiTheme="majorBidi" w:cstheme="majorBidi"/>
          <w:sz w:val="28"/>
          <w:szCs w:val="28"/>
        </w:rPr>
        <w:t xml:space="preserve"> </w:t>
      </w:r>
      <w:r w:rsidR="00281FCF" w:rsidRPr="00281FCF">
        <w:rPr>
          <w:rFonts w:asciiTheme="majorBidi" w:hAnsiTheme="majorBidi" w:cstheme="majorBidi"/>
          <w:b/>
          <w:bCs/>
          <w:i/>
          <w:iCs/>
          <w:sz w:val="28"/>
          <w:szCs w:val="28"/>
        </w:rPr>
        <w:t>(</w:t>
      </w:r>
      <w:proofErr w:type="spellStart"/>
      <w:r w:rsidR="00281FCF" w:rsidRPr="00281FCF">
        <w:rPr>
          <w:rFonts w:asciiTheme="majorBidi" w:hAnsiTheme="majorBidi" w:cstheme="majorBidi"/>
          <w:b/>
          <w:bCs/>
          <w:i/>
          <w:iCs/>
          <w:sz w:val="28"/>
          <w:szCs w:val="28"/>
        </w:rPr>
        <w:t>Holmfeldt</w:t>
      </w:r>
      <w:proofErr w:type="spellEnd"/>
      <w:r w:rsidR="00281FCF" w:rsidRPr="00281FCF">
        <w:rPr>
          <w:rFonts w:asciiTheme="majorBidi" w:hAnsiTheme="majorBidi" w:cstheme="majorBidi"/>
          <w:b/>
          <w:bCs/>
          <w:i/>
          <w:iCs/>
          <w:sz w:val="28"/>
          <w:szCs w:val="28"/>
        </w:rPr>
        <w:t xml:space="preserve"> et al.</w:t>
      </w:r>
      <w:r w:rsidR="00BB655E">
        <w:rPr>
          <w:rFonts w:asciiTheme="majorBidi" w:hAnsiTheme="majorBidi" w:cstheme="majorBidi"/>
          <w:b/>
          <w:bCs/>
          <w:i/>
          <w:iCs/>
          <w:sz w:val="28"/>
          <w:szCs w:val="28"/>
        </w:rPr>
        <w:t>,</w:t>
      </w:r>
      <w:r w:rsidR="00281FCF" w:rsidRPr="00281FCF">
        <w:rPr>
          <w:rFonts w:asciiTheme="majorBidi" w:hAnsiTheme="majorBidi" w:cstheme="majorBidi"/>
          <w:b/>
          <w:bCs/>
          <w:i/>
          <w:iCs/>
          <w:sz w:val="28"/>
          <w:szCs w:val="28"/>
        </w:rPr>
        <w:t xml:space="preserve"> 2013).</w:t>
      </w:r>
    </w:p>
    <w:p w:rsidR="00EF4811" w:rsidRDefault="00EF4811" w:rsidP="00EF4811">
      <w:pPr>
        <w:pStyle w:val="Default"/>
      </w:pPr>
    </w:p>
    <w:p w:rsidR="00081D79" w:rsidRPr="00081D79" w:rsidRDefault="00EF4811" w:rsidP="00F742F6">
      <w:pPr>
        <w:pStyle w:val="Default"/>
        <w:spacing w:line="360" w:lineRule="auto"/>
        <w:jc w:val="lowKashida"/>
        <w:rPr>
          <w:rFonts w:asciiTheme="majorBidi" w:hAnsiTheme="majorBidi" w:cstheme="majorBidi"/>
          <w:sz w:val="28"/>
          <w:szCs w:val="28"/>
        </w:rPr>
      </w:pPr>
      <w:r>
        <w:t xml:space="preserve">        </w:t>
      </w:r>
      <w:r w:rsidR="00F422D7">
        <w:rPr>
          <w:rFonts w:asciiTheme="majorBidi" w:hAnsiTheme="majorBidi" w:cstheme="majorBidi"/>
          <w:b/>
          <w:bCs/>
          <w:sz w:val="28"/>
          <w:szCs w:val="28"/>
        </w:rPr>
        <w:t>1.1</w:t>
      </w:r>
      <w:r w:rsidR="00081D79" w:rsidRPr="00081D79">
        <w:rPr>
          <w:rFonts w:asciiTheme="majorBidi" w:hAnsiTheme="majorBidi" w:cstheme="majorBidi"/>
          <w:b/>
          <w:bCs/>
          <w:sz w:val="28"/>
          <w:szCs w:val="28"/>
        </w:rPr>
        <w:t xml:space="preserve">-B-cell lymphoblastic leukemia/lymphoma with </w:t>
      </w:r>
      <w:proofErr w:type="gramStart"/>
      <w:r w:rsidR="00081D79" w:rsidRPr="00081D79">
        <w:rPr>
          <w:rFonts w:asciiTheme="majorBidi" w:hAnsiTheme="majorBidi" w:cstheme="majorBidi"/>
          <w:b/>
          <w:bCs/>
          <w:sz w:val="28"/>
          <w:szCs w:val="28"/>
        </w:rPr>
        <w:t>t(</w:t>
      </w:r>
      <w:proofErr w:type="gramEnd"/>
      <w:r w:rsidR="00081D79" w:rsidRPr="00081D79">
        <w:rPr>
          <w:rFonts w:asciiTheme="majorBidi" w:hAnsiTheme="majorBidi" w:cstheme="majorBidi"/>
          <w:b/>
          <w:bCs/>
          <w:sz w:val="28"/>
          <w:szCs w:val="28"/>
        </w:rPr>
        <w:t>9;22):</w:t>
      </w:r>
    </w:p>
    <w:p w:rsidR="00140719" w:rsidRDefault="00C70A5C" w:rsidP="00EF4811">
      <w:pPr>
        <w:pStyle w:val="Default"/>
        <w:spacing w:line="360" w:lineRule="auto"/>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00081D79">
        <w:rPr>
          <w:rFonts w:asciiTheme="majorBidi" w:hAnsiTheme="majorBidi" w:cstheme="majorBidi"/>
          <w:sz w:val="28"/>
          <w:szCs w:val="28"/>
        </w:rPr>
        <w:t xml:space="preserve">      </w:t>
      </w:r>
      <w:r w:rsidR="00EF4811" w:rsidRPr="00EF4811">
        <w:rPr>
          <w:rFonts w:asciiTheme="majorBidi" w:hAnsiTheme="majorBidi" w:cstheme="majorBidi"/>
          <w:sz w:val="28"/>
          <w:szCs w:val="28"/>
        </w:rPr>
        <w:t>Approximately 20% to 30% of adult acute lympho</w:t>
      </w:r>
      <w:r w:rsidR="00EF4811" w:rsidRPr="00EF4811">
        <w:rPr>
          <w:rFonts w:asciiTheme="majorBidi" w:hAnsiTheme="majorBidi" w:cstheme="majorBidi"/>
          <w:sz w:val="28"/>
          <w:szCs w:val="28"/>
        </w:rPr>
        <w:softHyphen/>
        <w:t xml:space="preserve">blastic </w:t>
      </w:r>
      <w:proofErr w:type="spellStart"/>
      <w:r w:rsidR="00EF4811" w:rsidRPr="00EF4811">
        <w:rPr>
          <w:rFonts w:asciiTheme="majorBidi" w:hAnsiTheme="majorBidi" w:cstheme="majorBidi"/>
          <w:sz w:val="28"/>
          <w:szCs w:val="28"/>
        </w:rPr>
        <w:t>leukemias</w:t>
      </w:r>
      <w:proofErr w:type="spellEnd"/>
      <w:r w:rsidR="00EF4811" w:rsidRPr="00EF4811">
        <w:rPr>
          <w:rFonts w:asciiTheme="majorBidi" w:hAnsiTheme="majorBidi" w:cstheme="majorBidi"/>
          <w:sz w:val="28"/>
          <w:szCs w:val="28"/>
        </w:rPr>
        <w:t xml:space="preserve"> (ALLs) and 5% of pediatric ALLs harbor the Philadelph</w:t>
      </w:r>
      <w:r w:rsidR="00EF4811">
        <w:rPr>
          <w:rFonts w:asciiTheme="majorBidi" w:hAnsiTheme="majorBidi" w:cstheme="majorBidi"/>
          <w:sz w:val="28"/>
          <w:szCs w:val="28"/>
        </w:rPr>
        <w:t>ia (</w:t>
      </w:r>
      <w:proofErr w:type="spellStart"/>
      <w:r w:rsidR="00EF4811">
        <w:rPr>
          <w:rFonts w:asciiTheme="majorBidi" w:hAnsiTheme="majorBidi" w:cstheme="majorBidi"/>
          <w:sz w:val="28"/>
          <w:szCs w:val="28"/>
        </w:rPr>
        <w:t>Ph</w:t>
      </w:r>
      <w:proofErr w:type="spellEnd"/>
      <w:r w:rsidR="00EF4811">
        <w:rPr>
          <w:rFonts w:asciiTheme="majorBidi" w:hAnsiTheme="majorBidi" w:cstheme="majorBidi"/>
          <w:sz w:val="28"/>
          <w:szCs w:val="28"/>
        </w:rPr>
        <w:t>)</w:t>
      </w:r>
      <w:r w:rsidR="00EF4811" w:rsidRPr="00EF4811">
        <w:rPr>
          <w:rFonts w:asciiTheme="majorBidi" w:hAnsiTheme="majorBidi" w:cstheme="majorBidi"/>
          <w:sz w:val="28"/>
          <w:szCs w:val="28"/>
        </w:rPr>
        <w:t xml:space="preserve"> chromosome </w:t>
      </w:r>
      <w:proofErr w:type="gramStart"/>
      <w:r w:rsidR="00EF4811" w:rsidRPr="00EF4811">
        <w:rPr>
          <w:rFonts w:asciiTheme="majorBidi" w:hAnsiTheme="majorBidi" w:cstheme="majorBidi"/>
          <w:sz w:val="28"/>
          <w:szCs w:val="28"/>
        </w:rPr>
        <w:t>t(</w:t>
      </w:r>
      <w:proofErr w:type="gramEnd"/>
      <w:r w:rsidR="00EF4811" w:rsidRPr="00EF4811">
        <w:rPr>
          <w:rFonts w:asciiTheme="majorBidi" w:hAnsiTheme="majorBidi" w:cstheme="majorBidi"/>
          <w:sz w:val="28"/>
          <w:szCs w:val="28"/>
        </w:rPr>
        <w:t>9;22)(q34;q11.2). The fusion gene encodes a constitutively active BCR-ABL1 tyrosine kinase, which in turn promotes unregulated cell proliferation. This genetic alteration confers a poor prognosis, as defined by shorter remission duration and shorter survival and higher rates of resistance to standard chemotherapy</w:t>
      </w:r>
      <w:r w:rsidR="00EF4811">
        <w:rPr>
          <w:rFonts w:asciiTheme="majorBidi" w:hAnsiTheme="majorBidi" w:cstheme="majorBidi"/>
          <w:sz w:val="28"/>
          <w:szCs w:val="28"/>
        </w:rPr>
        <w:t xml:space="preserve"> </w:t>
      </w:r>
      <w:r w:rsidR="00EF4811" w:rsidRPr="00EF4811">
        <w:rPr>
          <w:rFonts w:asciiTheme="majorBidi" w:hAnsiTheme="majorBidi" w:cstheme="majorBidi"/>
          <w:b/>
          <w:bCs/>
          <w:i/>
          <w:iCs/>
          <w:sz w:val="28"/>
          <w:szCs w:val="28"/>
        </w:rPr>
        <w:t>(</w:t>
      </w:r>
      <w:r w:rsidR="00EF4811" w:rsidRPr="00EF4811">
        <w:rPr>
          <w:b/>
          <w:bCs/>
          <w:i/>
          <w:iCs/>
          <w:sz w:val="28"/>
          <w:szCs w:val="28"/>
        </w:rPr>
        <w:t>Moorman</w:t>
      </w:r>
      <w:r w:rsidR="00EF4811" w:rsidRPr="00EF4811">
        <w:rPr>
          <w:rFonts w:asciiTheme="majorBidi" w:hAnsiTheme="majorBidi" w:cstheme="majorBidi"/>
          <w:b/>
          <w:bCs/>
          <w:i/>
          <w:iCs/>
          <w:sz w:val="28"/>
          <w:szCs w:val="28"/>
        </w:rPr>
        <w:t xml:space="preserve"> et al., 2007).</w:t>
      </w:r>
    </w:p>
    <w:p w:rsidR="00CA59A1" w:rsidRPr="00CA59A1" w:rsidRDefault="00CA59A1" w:rsidP="00EF4811">
      <w:pPr>
        <w:pStyle w:val="Default"/>
        <w:spacing w:line="360" w:lineRule="auto"/>
        <w:jc w:val="lowKashida"/>
        <w:rPr>
          <w:rFonts w:asciiTheme="majorBidi" w:hAnsiTheme="majorBidi" w:cstheme="majorBidi"/>
          <w:b/>
          <w:bCs/>
          <w:sz w:val="28"/>
          <w:szCs w:val="28"/>
          <w:u w:val="single"/>
        </w:rPr>
      </w:pPr>
      <w:r w:rsidRPr="00CA59A1">
        <w:rPr>
          <w:noProof/>
        </w:rPr>
        <w:drawing>
          <wp:inline distT="0" distB="0" distL="0" distR="0" wp14:anchorId="452DA218" wp14:editId="02B05734">
            <wp:extent cx="4867275" cy="2781300"/>
            <wp:effectExtent l="76200" t="76200" r="142875" b="133350"/>
            <wp:docPr id="1" name="Picture 1" descr="https://upload.wikimedia.org/wikipedia/commons/thumb/c/c6/Schematic_of_the_Philadelphia_Chromosome.svg/780px-Schematic_of_the_Philadelphia_Chromo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6/Schematic_of_the_Philadelphia_Chromosome.svg/780px-Schematic_of_the_Philadelphia_Chromosome.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27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59A1" w:rsidRPr="00CA59A1" w:rsidRDefault="00CA59A1" w:rsidP="00EF4811">
      <w:pPr>
        <w:pStyle w:val="Default"/>
        <w:spacing w:line="360" w:lineRule="auto"/>
        <w:jc w:val="lowKashida"/>
        <w:rPr>
          <w:rFonts w:asciiTheme="majorBidi" w:hAnsiTheme="majorBidi" w:cstheme="majorBidi"/>
          <w:sz w:val="28"/>
          <w:szCs w:val="28"/>
        </w:rPr>
      </w:pPr>
      <w:r w:rsidRPr="003D4BA4">
        <w:rPr>
          <w:rFonts w:asciiTheme="majorBidi" w:hAnsiTheme="majorBidi" w:cstheme="majorBidi"/>
          <w:b/>
          <w:bCs/>
          <w:sz w:val="28"/>
          <w:szCs w:val="28"/>
        </w:rPr>
        <w:t>Figure (2)</w:t>
      </w:r>
      <w:r w:rsidRPr="00CA59A1">
        <w:rPr>
          <w:rFonts w:asciiTheme="majorBidi" w:hAnsiTheme="majorBidi" w:cstheme="majorBidi"/>
          <w:sz w:val="28"/>
          <w:szCs w:val="28"/>
        </w:rPr>
        <w:t xml:space="preserve">: </w:t>
      </w:r>
      <w:r w:rsidRPr="00CA59A1">
        <w:rPr>
          <w:sz w:val="28"/>
          <w:szCs w:val="28"/>
          <w:lang w:val="en"/>
        </w:rPr>
        <w:t xml:space="preserve">Philadelphia chromosome </w:t>
      </w:r>
      <w:r w:rsidRPr="00CA59A1">
        <w:rPr>
          <w:b/>
          <w:bCs/>
          <w:i/>
          <w:iCs/>
          <w:sz w:val="28"/>
          <w:szCs w:val="28"/>
          <w:lang w:val="en"/>
        </w:rPr>
        <w:t>(</w:t>
      </w:r>
      <w:proofErr w:type="spellStart"/>
      <w:r w:rsidRPr="00CA59A1">
        <w:rPr>
          <w:rStyle w:val="HTMLCite"/>
          <w:b/>
          <w:bCs/>
          <w:i w:val="0"/>
          <w:iCs w:val="0"/>
          <w:sz w:val="28"/>
          <w:szCs w:val="28"/>
          <w:lang w:val="en"/>
        </w:rPr>
        <w:t>Kurzrock</w:t>
      </w:r>
      <w:proofErr w:type="spellEnd"/>
      <w:r w:rsidRPr="00CA59A1">
        <w:rPr>
          <w:rFonts w:asciiTheme="majorBidi" w:hAnsiTheme="majorBidi" w:cstheme="majorBidi"/>
          <w:b/>
          <w:bCs/>
          <w:i/>
          <w:iCs/>
          <w:sz w:val="28"/>
          <w:szCs w:val="28"/>
        </w:rPr>
        <w:t xml:space="preserve"> et al., 2003).</w:t>
      </w:r>
    </w:p>
    <w:p w:rsidR="00081D79" w:rsidRPr="00081D79" w:rsidRDefault="00F422D7" w:rsidP="00EF4811">
      <w:pPr>
        <w:pStyle w:val="Default"/>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1.2</w:t>
      </w:r>
      <w:r w:rsidR="00081D79" w:rsidRPr="00081D79">
        <w:rPr>
          <w:rFonts w:asciiTheme="majorBidi" w:hAnsiTheme="majorBidi" w:cstheme="majorBidi"/>
          <w:b/>
          <w:bCs/>
          <w:sz w:val="28"/>
          <w:szCs w:val="28"/>
        </w:rPr>
        <w:t xml:space="preserve">-B-cell lymphoblastic leukemia with </w:t>
      </w:r>
      <w:proofErr w:type="spellStart"/>
      <w:r w:rsidR="00081D79" w:rsidRPr="00081D79">
        <w:rPr>
          <w:rFonts w:asciiTheme="majorBidi" w:hAnsiTheme="majorBidi" w:cstheme="majorBidi"/>
          <w:b/>
          <w:bCs/>
          <w:sz w:val="28"/>
          <w:szCs w:val="28"/>
        </w:rPr>
        <w:t>hypodiploidy</w:t>
      </w:r>
      <w:proofErr w:type="spellEnd"/>
      <w:r w:rsidR="00081D79" w:rsidRPr="00081D79">
        <w:rPr>
          <w:rFonts w:asciiTheme="majorBidi" w:hAnsiTheme="majorBidi" w:cstheme="majorBidi"/>
          <w:b/>
          <w:bCs/>
          <w:sz w:val="28"/>
          <w:szCs w:val="28"/>
        </w:rPr>
        <w:t>:</w:t>
      </w:r>
    </w:p>
    <w:p w:rsidR="00991559" w:rsidRDefault="00991559" w:rsidP="00F40F2D">
      <w:pPr>
        <w:pStyle w:val="Default"/>
        <w:spacing w:line="360" w:lineRule="auto"/>
        <w:jc w:val="lowKashida"/>
        <w:rPr>
          <w:sz w:val="28"/>
          <w:szCs w:val="28"/>
        </w:rPr>
      </w:pPr>
      <w:r w:rsidRPr="00991559">
        <w:rPr>
          <w:sz w:val="28"/>
          <w:szCs w:val="28"/>
        </w:rPr>
        <w:t xml:space="preserve">      </w:t>
      </w:r>
      <w:r w:rsidR="00B77449">
        <w:rPr>
          <w:sz w:val="28"/>
          <w:szCs w:val="28"/>
        </w:rPr>
        <w:t xml:space="preserve"> </w:t>
      </w:r>
      <w:r w:rsidRPr="00991559">
        <w:rPr>
          <w:sz w:val="28"/>
          <w:szCs w:val="28"/>
        </w:rPr>
        <w:t>Recently described the genetic basis of another subset with poor outcomes</w:t>
      </w:r>
      <w:r>
        <w:rPr>
          <w:sz w:val="28"/>
          <w:szCs w:val="28"/>
        </w:rPr>
        <w:t>,</w:t>
      </w:r>
      <w:r w:rsidRPr="00991559">
        <w:rPr>
          <w:sz w:val="28"/>
          <w:szCs w:val="28"/>
        </w:rPr>
        <w:t xml:space="preserve"> low-</w:t>
      </w:r>
      <w:proofErr w:type="spellStart"/>
      <w:r w:rsidRPr="00991559">
        <w:rPr>
          <w:sz w:val="28"/>
          <w:szCs w:val="28"/>
        </w:rPr>
        <w:t>hypodiploid</w:t>
      </w:r>
      <w:proofErr w:type="spellEnd"/>
      <w:r w:rsidRPr="00991559">
        <w:rPr>
          <w:sz w:val="28"/>
          <w:szCs w:val="28"/>
        </w:rPr>
        <w:t xml:space="preserve"> (32–39 chromosomes) ALL, alterations in p53 (91%), IKZF2 (53%) and RB1 (41%) were more common. </w:t>
      </w:r>
      <w:r w:rsidR="00B77449">
        <w:rPr>
          <w:sz w:val="28"/>
          <w:szCs w:val="28"/>
        </w:rPr>
        <w:t>In contrast,</w:t>
      </w:r>
      <w:r w:rsidR="00B77449" w:rsidRPr="00B77449">
        <w:rPr>
          <w:sz w:val="28"/>
          <w:szCs w:val="28"/>
        </w:rPr>
        <w:t xml:space="preserve"> </w:t>
      </w:r>
      <w:r w:rsidR="00B77449" w:rsidRPr="00991559">
        <w:rPr>
          <w:sz w:val="28"/>
          <w:szCs w:val="28"/>
        </w:rPr>
        <w:t xml:space="preserve">near-haploid (24–31 chromosomes) ALL, alterations in tyrosine kinase or </w:t>
      </w:r>
      <w:proofErr w:type="spellStart"/>
      <w:r w:rsidR="00B77449" w:rsidRPr="00991559">
        <w:rPr>
          <w:sz w:val="28"/>
          <w:szCs w:val="28"/>
        </w:rPr>
        <w:t>Ras</w:t>
      </w:r>
      <w:proofErr w:type="spellEnd"/>
      <w:r w:rsidR="00B77449" w:rsidRPr="00991559">
        <w:rPr>
          <w:sz w:val="28"/>
          <w:szCs w:val="28"/>
        </w:rPr>
        <w:t xml:space="preserve"> signaling was seen in 71% of cases and in IKAROS family zinc finger 3 (IKZF3) in 13% of cases</w:t>
      </w:r>
      <w:r w:rsidR="00F40F2D">
        <w:rPr>
          <w:sz w:val="28"/>
          <w:szCs w:val="28"/>
        </w:rPr>
        <w:t>.</w:t>
      </w:r>
      <w:r w:rsidR="00B77449">
        <w:rPr>
          <w:sz w:val="28"/>
          <w:szCs w:val="28"/>
        </w:rPr>
        <w:t xml:space="preserve"> </w:t>
      </w:r>
      <w:r w:rsidRPr="00991559">
        <w:rPr>
          <w:sz w:val="28"/>
          <w:szCs w:val="28"/>
        </w:rPr>
        <w:t xml:space="preserve">Both </w:t>
      </w:r>
      <w:proofErr w:type="spellStart"/>
      <w:r w:rsidRPr="00991559">
        <w:rPr>
          <w:sz w:val="28"/>
          <w:szCs w:val="28"/>
        </w:rPr>
        <w:t>nearhaploid</w:t>
      </w:r>
      <w:proofErr w:type="spellEnd"/>
      <w:r w:rsidRPr="00991559">
        <w:rPr>
          <w:sz w:val="28"/>
          <w:szCs w:val="28"/>
        </w:rPr>
        <w:t xml:space="preserve"> and low-</w:t>
      </w:r>
      <w:proofErr w:type="spellStart"/>
      <w:r w:rsidRPr="00991559">
        <w:rPr>
          <w:sz w:val="28"/>
          <w:szCs w:val="28"/>
        </w:rPr>
        <w:lastRenderedPageBreak/>
        <w:t>hypodiploid</w:t>
      </w:r>
      <w:proofErr w:type="spellEnd"/>
      <w:r w:rsidRPr="00991559">
        <w:rPr>
          <w:sz w:val="28"/>
          <w:szCs w:val="28"/>
        </w:rPr>
        <w:t xml:space="preserve"> exhibited activation of </w:t>
      </w:r>
      <w:proofErr w:type="spellStart"/>
      <w:r w:rsidRPr="00991559">
        <w:rPr>
          <w:sz w:val="28"/>
          <w:szCs w:val="28"/>
        </w:rPr>
        <w:t>Ras</w:t>
      </w:r>
      <w:proofErr w:type="spellEnd"/>
      <w:r w:rsidRPr="00991559">
        <w:rPr>
          <w:sz w:val="28"/>
          <w:szCs w:val="28"/>
        </w:rPr>
        <w:t>- and PI3K-sign</w:t>
      </w:r>
      <w:r w:rsidR="00B77449">
        <w:rPr>
          <w:sz w:val="28"/>
          <w:szCs w:val="28"/>
        </w:rPr>
        <w:t>aling pathways</w:t>
      </w:r>
      <w:r w:rsidR="00B77449">
        <w:t xml:space="preserve">, </w:t>
      </w:r>
      <w:r w:rsidR="00B77449" w:rsidRPr="00B77449">
        <w:rPr>
          <w:sz w:val="28"/>
          <w:szCs w:val="28"/>
        </w:rPr>
        <w:t xml:space="preserve">suggesting that these pathways may be a target for therapy in aggressive </w:t>
      </w:r>
      <w:proofErr w:type="spellStart"/>
      <w:r w:rsidR="00B77449" w:rsidRPr="00B77449">
        <w:rPr>
          <w:sz w:val="28"/>
          <w:szCs w:val="28"/>
        </w:rPr>
        <w:t>hypodiploid</w:t>
      </w:r>
      <w:proofErr w:type="spellEnd"/>
      <w:r w:rsidR="00B77449" w:rsidRPr="00B77449">
        <w:rPr>
          <w:sz w:val="28"/>
          <w:szCs w:val="28"/>
        </w:rPr>
        <w:t xml:space="preserve"> ALL</w:t>
      </w:r>
      <w:r w:rsidR="00A9026D">
        <w:rPr>
          <w:rFonts w:asciiTheme="majorBidi" w:hAnsiTheme="majorBidi" w:cstheme="majorBidi"/>
          <w:b/>
          <w:bCs/>
          <w:i/>
          <w:iCs/>
          <w:sz w:val="28"/>
          <w:szCs w:val="28"/>
        </w:rPr>
        <w:t xml:space="preserve"> </w:t>
      </w:r>
      <w:proofErr w:type="gramStart"/>
      <w:r w:rsidR="00F40F2D">
        <w:rPr>
          <w:rFonts w:asciiTheme="majorBidi" w:hAnsiTheme="majorBidi" w:cstheme="majorBidi"/>
          <w:b/>
          <w:bCs/>
          <w:i/>
          <w:iCs/>
          <w:sz w:val="28"/>
          <w:szCs w:val="28"/>
        </w:rPr>
        <w:t>(</w:t>
      </w:r>
      <w:r w:rsidR="00F40F2D" w:rsidRPr="00B77449">
        <w:rPr>
          <w:rFonts w:asciiTheme="majorBidi" w:hAnsiTheme="majorBidi" w:cstheme="majorBidi"/>
          <w:b/>
          <w:bCs/>
          <w:i/>
          <w:iCs/>
          <w:sz w:val="28"/>
          <w:szCs w:val="28"/>
        </w:rPr>
        <w:t xml:space="preserve"> </w:t>
      </w:r>
      <w:proofErr w:type="spellStart"/>
      <w:r w:rsidR="00F40F2D" w:rsidRPr="00281FCF">
        <w:rPr>
          <w:rFonts w:asciiTheme="majorBidi" w:hAnsiTheme="majorBidi" w:cstheme="majorBidi"/>
          <w:b/>
          <w:bCs/>
          <w:i/>
          <w:iCs/>
          <w:sz w:val="28"/>
          <w:szCs w:val="28"/>
        </w:rPr>
        <w:t>Holmfeldt</w:t>
      </w:r>
      <w:proofErr w:type="spellEnd"/>
      <w:proofErr w:type="gramEnd"/>
      <w:r w:rsidR="00F40F2D" w:rsidRPr="00281FCF">
        <w:rPr>
          <w:rFonts w:asciiTheme="majorBidi" w:hAnsiTheme="majorBidi" w:cstheme="majorBidi"/>
          <w:b/>
          <w:bCs/>
          <w:i/>
          <w:iCs/>
          <w:sz w:val="28"/>
          <w:szCs w:val="28"/>
        </w:rPr>
        <w:t xml:space="preserve"> et al.</w:t>
      </w:r>
      <w:r w:rsidR="00F40F2D">
        <w:rPr>
          <w:rFonts w:asciiTheme="majorBidi" w:hAnsiTheme="majorBidi" w:cstheme="majorBidi"/>
          <w:b/>
          <w:bCs/>
          <w:i/>
          <w:iCs/>
          <w:sz w:val="28"/>
          <w:szCs w:val="28"/>
        </w:rPr>
        <w:t>,</w:t>
      </w:r>
      <w:r w:rsidR="00F40F2D" w:rsidRPr="00281FCF">
        <w:rPr>
          <w:rFonts w:asciiTheme="majorBidi" w:hAnsiTheme="majorBidi" w:cstheme="majorBidi"/>
          <w:b/>
          <w:bCs/>
          <w:i/>
          <w:iCs/>
          <w:sz w:val="28"/>
          <w:szCs w:val="28"/>
        </w:rPr>
        <w:t xml:space="preserve"> 2013)</w:t>
      </w:r>
      <w:r w:rsidR="00F40F2D">
        <w:rPr>
          <w:sz w:val="28"/>
          <w:szCs w:val="28"/>
        </w:rPr>
        <w:t>.</w:t>
      </w:r>
    </w:p>
    <w:p w:rsidR="00081D79" w:rsidRPr="00081D79" w:rsidRDefault="00972A81" w:rsidP="00F422D7">
      <w:pPr>
        <w:bidi w:val="0"/>
        <w:spacing w:line="360" w:lineRule="auto"/>
        <w:rPr>
          <w:rFonts w:asciiTheme="majorBidi" w:hAnsiTheme="majorBidi" w:cstheme="majorBidi"/>
          <w:b/>
          <w:bCs/>
          <w:sz w:val="28"/>
          <w:szCs w:val="28"/>
        </w:rPr>
      </w:pPr>
      <w:r>
        <w:t xml:space="preserve">   </w:t>
      </w:r>
      <w:r w:rsidR="00F422D7">
        <w:rPr>
          <w:rFonts w:asciiTheme="majorBidi" w:hAnsiTheme="majorBidi" w:cstheme="majorBidi"/>
          <w:b/>
          <w:bCs/>
          <w:sz w:val="28"/>
          <w:szCs w:val="28"/>
        </w:rPr>
        <w:t>1.3</w:t>
      </w:r>
      <w:r w:rsidR="00081D79" w:rsidRPr="00081D79">
        <w:rPr>
          <w:rFonts w:asciiTheme="majorBidi" w:hAnsiTheme="majorBidi" w:cstheme="majorBidi"/>
          <w:b/>
          <w:bCs/>
          <w:sz w:val="28"/>
          <w:szCs w:val="28"/>
        </w:rPr>
        <w:t>-B-cell lymphoblastic leukemia with</w:t>
      </w:r>
      <w:r w:rsidR="00081D79" w:rsidRPr="00081D79">
        <w:rPr>
          <w:b/>
          <w:bCs/>
          <w:sz w:val="28"/>
          <w:szCs w:val="28"/>
        </w:rPr>
        <w:t xml:space="preserve"> </w:t>
      </w:r>
      <w:r w:rsidR="00081D79" w:rsidRPr="00D2365C">
        <w:rPr>
          <w:rFonts w:asciiTheme="majorBidi" w:hAnsiTheme="majorBidi" w:cstheme="majorBidi"/>
          <w:b/>
          <w:bCs/>
          <w:sz w:val="28"/>
          <w:szCs w:val="28"/>
        </w:rPr>
        <w:t>Mixed-lineage leukemic gene</w:t>
      </w:r>
      <w:r w:rsidR="00081D79" w:rsidRPr="00081D79">
        <w:rPr>
          <w:rFonts w:asciiTheme="majorBidi" w:hAnsiTheme="majorBidi" w:cstheme="majorBidi"/>
          <w:b/>
          <w:bCs/>
          <w:sz w:val="28"/>
          <w:szCs w:val="28"/>
        </w:rPr>
        <w:t xml:space="preserve"> (MLL) rearrangement: </w:t>
      </w:r>
    </w:p>
    <w:p w:rsidR="00972A81" w:rsidRDefault="00081D79" w:rsidP="00081D79">
      <w:pPr>
        <w:pStyle w:val="Default"/>
        <w:spacing w:line="360" w:lineRule="auto"/>
        <w:jc w:val="lowKashida"/>
      </w:pPr>
      <w:r>
        <w:t xml:space="preserve">       </w:t>
      </w:r>
      <w:r w:rsidR="00972A81" w:rsidRPr="00972A81">
        <w:rPr>
          <w:sz w:val="28"/>
          <w:szCs w:val="28"/>
        </w:rPr>
        <w:t xml:space="preserve">Approximately 20% of all cases of ALL, including 80% of infant ALL and 10% of older children and adult ALL, exhibit MLL rearrangements. Both infants and adults with B-ALL associated </w:t>
      </w:r>
      <w:r>
        <w:rPr>
          <w:sz w:val="28"/>
          <w:szCs w:val="28"/>
        </w:rPr>
        <w:t xml:space="preserve">with </w:t>
      </w:r>
      <w:proofErr w:type="gramStart"/>
      <w:r>
        <w:rPr>
          <w:sz w:val="28"/>
          <w:szCs w:val="28"/>
        </w:rPr>
        <w:t xml:space="preserve">( </w:t>
      </w:r>
      <w:r w:rsidR="00972A81" w:rsidRPr="00972A81">
        <w:rPr>
          <w:sz w:val="28"/>
          <w:szCs w:val="28"/>
        </w:rPr>
        <w:t>MLL</w:t>
      </w:r>
      <w:proofErr w:type="gramEnd"/>
      <w:r>
        <w:rPr>
          <w:sz w:val="28"/>
          <w:szCs w:val="28"/>
        </w:rPr>
        <w:t>)</w:t>
      </w:r>
      <w:r w:rsidR="00972A81" w:rsidRPr="00972A81">
        <w:rPr>
          <w:sz w:val="28"/>
          <w:szCs w:val="28"/>
        </w:rPr>
        <w:t xml:space="preserve"> rearrangem</w:t>
      </w:r>
      <w:r w:rsidR="00972A81">
        <w:rPr>
          <w:sz w:val="28"/>
          <w:szCs w:val="28"/>
        </w:rPr>
        <w:t>ents have a poor prognosis.</w:t>
      </w:r>
      <w:r w:rsidR="00972A81" w:rsidRPr="00972A81">
        <w:rPr>
          <w:sz w:val="28"/>
          <w:szCs w:val="28"/>
        </w:rPr>
        <w:t xml:space="preserve"> The </w:t>
      </w:r>
      <w:proofErr w:type="gramStart"/>
      <w:r w:rsidR="00972A81" w:rsidRPr="00972A81">
        <w:rPr>
          <w:sz w:val="28"/>
          <w:szCs w:val="28"/>
        </w:rPr>
        <w:t>t(</w:t>
      </w:r>
      <w:proofErr w:type="gramEnd"/>
      <w:r w:rsidR="00972A81" w:rsidRPr="00972A81">
        <w:rPr>
          <w:sz w:val="28"/>
          <w:szCs w:val="28"/>
        </w:rPr>
        <w:t>4;11)(q21;q23) with an AF4 fusion partner is m</w:t>
      </w:r>
      <w:r w:rsidR="00234087">
        <w:rPr>
          <w:sz w:val="28"/>
          <w:szCs w:val="28"/>
        </w:rPr>
        <w:t>ost common in infants</w:t>
      </w:r>
      <w:r w:rsidR="00972A81" w:rsidRPr="00972A81">
        <w:rPr>
          <w:sz w:val="28"/>
          <w:szCs w:val="28"/>
        </w:rPr>
        <w:t>. Patients with these tumors have a bimodal age distribution with high prevalence among infants younger than 1 year of age and an increasing incidence in later adulthood, while being relatively uncommon in older children</w:t>
      </w:r>
      <w:r w:rsidR="00234087">
        <w:rPr>
          <w:sz w:val="28"/>
          <w:szCs w:val="28"/>
        </w:rPr>
        <w:t xml:space="preserve"> </w:t>
      </w:r>
      <w:r w:rsidR="00234087" w:rsidRPr="00234087">
        <w:rPr>
          <w:b/>
          <w:bCs/>
          <w:i/>
          <w:iCs/>
          <w:sz w:val="28"/>
          <w:szCs w:val="28"/>
        </w:rPr>
        <w:t>(</w:t>
      </w:r>
      <w:proofErr w:type="spellStart"/>
      <w:r w:rsidR="00234087" w:rsidRPr="00234087">
        <w:rPr>
          <w:b/>
          <w:bCs/>
          <w:i/>
          <w:iCs/>
          <w:sz w:val="28"/>
          <w:szCs w:val="28"/>
        </w:rPr>
        <w:t>Gleissneret</w:t>
      </w:r>
      <w:proofErr w:type="spellEnd"/>
      <w:r w:rsidR="00234087" w:rsidRPr="00234087">
        <w:rPr>
          <w:b/>
          <w:bCs/>
          <w:i/>
          <w:iCs/>
          <w:sz w:val="28"/>
          <w:szCs w:val="28"/>
        </w:rPr>
        <w:t xml:space="preserve"> al., 2005)</w:t>
      </w:r>
      <w:r w:rsidR="00972A81" w:rsidRPr="00234087">
        <w:rPr>
          <w:b/>
          <w:bCs/>
          <w:i/>
          <w:iCs/>
          <w:sz w:val="28"/>
          <w:szCs w:val="28"/>
        </w:rPr>
        <w:t>.</w:t>
      </w:r>
    </w:p>
    <w:p w:rsidR="005529B3" w:rsidRDefault="00F422D7" w:rsidP="005529B3">
      <w:pPr>
        <w:pStyle w:val="Default"/>
        <w:spacing w:line="360" w:lineRule="auto"/>
        <w:jc w:val="lowKashida"/>
        <w:rPr>
          <w:b/>
          <w:bCs/>
          <w:sz w:val="28"/>
          <w:szCs w:val="28"/>
        </w:rPr>
      </w:pPr>
      <w:r>
        <w:rPr>
          <w:b/>
          <w:bCs/>
          <w:sz w:val="28"/>
          <w:szCs w:val="28"/>
        </w:rPr>
        <w:t>1.4</w:t>
      </w:r>
      <w:r w:rsidR="005529B3" w:rsidRPr="005529B3">
        <w:rPr>
          <w:b/>
          <w:bCs/>
          <w:sz w:val="28"/>
          <w:szCs w:val="28"/>
        </w:rPr>
        <w:t>-</w:t>
      </w:r>
      <w:r w:rsidR="005529B3" w:rsidRPr="005529B3">
        <w:rPr>
          <w:rFonts w:asciiTheme="majorBidi" w:hAnsiTheme="majorBidi" w:cstheme="majorBidi"/>
          <w:b/>
          <w:bCs/>
          <w:sz w:val="28"/>
          <w:szCs w:val="28"/>
        </w:rPr>
        <w:t xml:space="preserve"> B-cell lymphoblastic leukemia with </w:t>
      </w:r>
      <w:r w:rsidR="00D3227F" w:rsidRPr="005529B3">
        <w:rPr>
          <w:rFonts w:asciiTheme="majorBidi" w:hAnsiTheme="majorBidi" w:cstheme="majorBidi"/>
          <w:b/>
          <w:bCs/>
          <w:sz w:val="28"/>
          <w:szCs w:val="28"/>
        </w:rPr>
        <w:t>t (</w:t>
      </w:r>
      <w:r w:rsidR="005529B3" w:rsidRPr="005529B3">
        <w:rPr>
          <w:rFonts w:asciiTheme="majorBidi" w:hAnsiTheme="majorBidi" w:cstheme="majorBidi"/>
          <w:b/>
          <w:bCs/>
          <w:sz w:val="28"/>
          <w:szCs w:val="28"/>
        </w:rPr>
        <w:t>5</w:t>
      </w:r>
      <w:r w:rsidR="00D3227F" w:rsidRPr="005529B3">
        <w:rPr>
          <w:rFonts w:asciiTheme="majorBidi" w:hAnsiTheme="majorBidi" w:cstheme="majorBidi"/>
          <w:b/>
          <w:bCs/>
          <w:sz w:val="28"/>
          <w:szCs w:val="28"/>
        </w:rPr>
        <w:t>; 14</w:t>
      </w:r>
      <w:r w:rsidR="005529B3" w:rsidRPr="005529B3">
        <w:rPr>
          <w:rFonts w:asciiTheme="majorBidi" w:hAnsiTheme="majorBidi" w:cstheme="majorBidi"/>
          <w:b/>
          <w:bCs/>
          <w:sz w:val="28"/>
          <w:szCs w:val="28"/>
        </w:rPr>
        <w:t>)</w:t>
      </w:r>
      <w:r w:rsidR="005529B3" w:rsidRPr="005529B3">
        <w:rPr>
          <w:b/>
          <w:bCs/>
          <w:sz w:val="28"/>
          <w:szCs w:val="28"/>
        </w:rPr>
        <w:t>:</w:t>
      </w:r>
    </w:p>
    <w:p w:rsidR="005529B3" w:rsidRPr="005529B3" w:rsidRDefault="005529B3" w:rsidP="005529B3">
      <w:pPr>
        <w:pStyle w:val="Default"/>
        <w:spacing w:line="360" w:lineRule="auto"/>
        <w:jc w:val="lowKashida"/>
        <w:rPr>
          <w:b/>
          <w:bCs/>
          <w:i/>
          <w:iCs/>
          <w:sz w:val="28"/>
          <w:szCs w:val="28"/>
        </w:rPr>
      </w:pPr>
      <w:r>
        <w:t xml:space="preserve">     </w:t>
      </w:r>
      <w:r w:rsidRPr="005529B3">
        <w:rPr>
          <w:sz w:val="28"/>
          <w:szCs w:val="28"/>
        </w:rPr>
        <w:t>In general, the presence of eosinophilia occurring with B-ALL raises several diagnostic possibilities, including but not limited to B-ALL associated with t(5;14) (q31;q32); lymphoid neoplasms with abnormalities of PDGFRA, PDGFRB, or FGFR1</w:t>
      </w:r>
      <w:r w:rsidRPr="005529B3">
        <w:rPr>
          <w:b/>
          <w:bCs/>
          <w:i/>
          <w:iCs/>
          <w:sz w:val="28"/>
          <w:szCs w:val="28"/>
        </w:rPr>
        <w:t xml:space="preserve">(von </w:t>
      </w:r>
      <w:proofErr w:type="spellStart"/>
      <w:r w:rsidRPr="005529B3">
        <w:rPr>
          <w:b/>
          <w:bCs/>
          <w:i/>
          <w:iCs/>
          <w:sz w:val="28"/>
          <w:szCs w:val="28"/>
        </w:rPr>
        <w:t>Bubnoff</w:t>
      </w:r>
      <w:proofErr w:type="spellEnd"/>
      <w:r w:rsidRPr="005529B3">
        <w:rPr>
          <w:b/>
          <w:bCs/>
          <w:i/>
          <w:iCs/>
          <w:sz w:val="28"/>
          <w:szCs w:val="28"/>
        </w:rPr>
        <w:t xml:space="preserve"> et al., 2006).  </w:t>
      </w:r>
    </w:p>
    <w:p w:rsidR="00CE289A" w:rsidRDefault="005529B3" w:rsidP="00CE289A">
      <w:pPr>
        <w:pStyle w:val="Default"/>
        <w:spacing w:line="360" w:lineRule="auto"/>
        <w:jc w:val="lowKashida"/>
        <w:rPr>
          <w:b/>
          <w:bCs/>
          <w:i/>
          <w:iCs/>
          <w:sz w:val="28"/>
          <w:szCs w:val="28"/>
        </w:rPr>
      </w:pPr>
      <w:r>
        <w:rPr>
          <w:sz w:val="28"/>
          <w:szCs w:val="28"/>
        </w:rPr>
        <w:t xml:space="preserve">    </w:t>
      </w:r>
      <w:r w:rsidRPr="0069136D">
        <w:rPr>
          <w:sz w:val="28"/>
          <w:szCs w:val="28"/>
        </w:rPr>
        <w:t xml:space="preserve">It is important to appropriately identify </w:t>
      </w:r>
      <w:proofErr w:type="spellStart"/>
      <w:r w:rsidRPr="0069136D">
        <w:rPr>
          <w:sz w:val="28"/>
          <w:szCs w:val="28"/>
        </w:rPr>
        <w:t>Ph</w:t>
      </w:r>
      <w:proofErr w:type="spellEnd"/>
      <w:r w:rsidRPr="0069136D">
        <w:rPr>
          <w:sz w:val="28"/>
          <w:szCs w:val="28"/>
        </w:rPr>
        <w:t>+ cases and those with PDGFRA or PDGFRB abnormalities because these patients are often responsive to TKI therapy Thus, in patients with nonreactive eosinophilia, in addition to conventional cytogenetic analysis, fluorescence in situ hybridization (FISH) studies are recommended to identify FIP1L1-PDGFRA fusions and reciprocal translocations involving PDGFRA (4q12), PDGFRB (5q31-q33), FGFR1 (8p11-13)</w:t>
      </w:r>
      <w:r w:rsidR="00F260F9" w:rsidRPr="0069136D">
        <w:rPr>
          <w:sz w:val="28"/>
          <w:szCs w:val="28"/>
        </w:rPr>
        <w:t xml:space="preserve"> </w:t>
      </w:r>
      <w:r w:rsidR="0069136D" w:rsidRPr="0069136D">
        <w:rPr>
          <w:sz w:val="28"/>
          <w:szCs w:val="28"/>
        </w:rPr>
        <w:t xml:space="preserve">and juxtaposition of the promoter region of the interleukin-3 (IL-3) gene on </w:t>
      </w:r>
      <w:r w:rsidR="0069136D" w:rsidRPr="0069136D">
        <w:rPr>
          <w:sz w:val="28"/>
          <w:szCs w:val="28"/>
        </w:rPr>
        <w:lastRenderedPageBreak/>
        <w:t xml:space="preserve">chromosome 5 and the IGH gene on chromosome 14 </w:t>
      </w:r>
      <w:r w:rsidR="0069136D" w:rsidRPr="0069136D">
        <w:rPr>
          <w:b/>
          <w:bCs/>
          <w:i/>
          <w:iCs/>
          <w:sz w:val="28"/>
          <w:szCs w:val="28"/>
        </w:rPr>
        <w:t>(</w:t>
      </w:r>
      <w:proofErr w:type="spellStart"/>
      <w:r w:rsidR="0069136D" w:rsidRPr="0069136D">
        <w:rPr>
          <w:b/>
          <w:bCs/>
          <w:i/>
          <w:iCs/>
          <w:sz w:val="28"/>
          <w:szCs w:val="28"/>
        </w:rPr>
        <w:t>Loghavi</w:t>
      </w:r>
      <w:proofErr w:type="spellEnd"/>
      <w:r w:rsidR="0069136D" w:rsidRPr="0069136D">
        <w:rPr>
          <w:b/>
          <w:bCs/>
          <w:i/>
          <w:iCs/>
          <w:sz w:val="28"/>
          <w:szCs w:val="28"/>
        </w:rPr>
        <w:t xml:space="preserve"> et al., 2015).</w:t>
      </w:r>
    </w:p>
    <w:p w:rsidR="00F742F6" w:rsidRDefault="00F742F6" w:rsidP="00CE289A">
      <w:pPr>
        <w:pStyle w:val="Default"/>
        <w:spacing w:line="360" w:lineRule="auto"/>
        <w:jc w:val="lowKashida"/>
        <w:rPr>
          <w:b/>
          <w:bCs/>
          <w:sz w:val="28"/>
          <w:szCs w:val="28"/>
        </w:rPr>
      </w:pPr>
    </w:p>
    <w:p w:rsidR="00AA35AC" w:rsidRPr="00AA35AC" w:rsidRDefault="00F422D7" w:rsidP="00CE289A">
      <w:pPr>
        <w:pStyle w:val="Default"/>
        <w:spacing w:line="360" w:lineRule="auto"/>
        <w:jc w:val="lowKashida"/>
        <w:rPr>
          <w:b/>
          <w:bCs/>
          <w:i/>
          <w:iCs/>
          <w:sz w:val="28"/>
          <w:szCs w:val="28"/>
        </w:rPr>
      </w:pPr>
      <w:r>
        <w:rPr>
          <w:b/>
          <w:bCs/>
          <w:sz w:val="28"/>
          <w:szCs w:val="28"/>
        </w:rPr>
        <w:t>2</w:t>
      </w:r>
      <w:r w:rsidR="00AA35AC" w:rsidRPr="00AA35AC">
        <w:rPr>
          <w:b/>
          <w:bCs/>
          <w:sz w:val="28"/>
          <w:szCs w:val="28"/>
        </w:rPr>
        <w:t>-</w:t>
      </w:r>
      <w:r w:rsidR="00AA35AC" w:rsidRPr="00AA35AC">
        <w:rPr>
          <w:rFonts w:asciiTheme="majorBidi" w:hAnsiTheme="majorBidi" w:cstheme="majorBidi"/>
          <w:b/>
          <w:bCs/>
          <w:sz w:val="28"/>
          <w:szCs w:val="28"/>
        </w:rPr>
        <w:t xml:space="preserve"> B-cell lymphoblastic leukemia not otherwise specified:</w:t>
      </w:r>
    </w:p>
    <w:p w:rsidR="00F422D7" w:rsidRDefault="00AA35AC" w:rsidP="00AA35AC">
      <w:pPr>
        <w:pStyle w:val="Default"/>
        <w:spacing w:line="360" w:lineRule="auto"/>
        <w:jc w:val="lowKashida"/>
        <w:rPr>
          <w:b/>
          <w:bCs/>
          <w:i/>
          <w:iCs/>
          <w:sz w:val="28"/>
          <w:szCs w:val="28"/>
        </w:rPr>
      </w:pPr>
      <w:r>
        <w:t xml:space="preserve">      </w:t>
      </w:r>
      <w:r w:rsidRPr="00AA35AC">
        <w:rPr>
          <w:sz w:val="28"/>
          <w:szCs w:val="28"/>
        </w:rPr>
        <w:t xml:space="preserve">By gene expression profiling, the </w:t>
      </w:r>
      <w:proofErr w:type="spellStart"/>
      <w:r w:rsidRPr="00AA35AC">
        <w:rPr>
          <w:sz w:val="28"/>
          <w:szCs w:val="28"/>
        </w:rPr>
        <w:t>lymphoblasts</w:t>
      </w:r>
      <w:proofErr w:type="spellEnd"/>
      <w:r w:rsidRPr="00AA35AC">
        <w:rPr>
          <w:sz w:val="28"/>
          <w:szCs w:val="28"/>
        </w:rPr>
        <w:t xml:space="preserve"> show high levels of FMS-related tyrosine kinase 3. The overall profile was similar to those seen in what is known as “cluster group 5,” which has been associated with a more favorable prognosis and remission 5 years after diagnosis</w:t>
      </w:r>
      <w:r>
        <w:rPr>
          <w:sz w:val="28"/>
          <w:szCs w:val="28"/>
        </w:rPr>
        <w:t xml:space="preserve"> </w:t>
      </w:r>
      <w:r w:rsidRPr="00AA35AC">
        <w:rPr>
          <w:b/>
          <w:bCs/>
          <w:i/>
          <w:iCs/>
          <w:sz w:val="28"/>
          <w:szCs w:val="28"/>
        </w:rPr>
        <w:t>(Harvey et al., 2010).</w:t>
      </w:r>
    </w:p>
    <w:p w:rsidR="00F422D7" w:rsidRDefault="00F422D7" w:rsidP="00AA35AC">
      <w:pPr>
        <w:pStyle w:val="Default"/>
        <w:spacing w:line="360" w:lineRule="auto"/>
        <w:jc w:val="lowKashida"/>
        <w:rPr>
          <w:b/>
          <w:bCs/>
          <w:sz w:val="28"/>
          <w:szCs w:val="28"/>
        </w:rPr>
      </w:pPr>
      <w:r w:rsidRPr="00F422D7">
        <w:rPr>
          <w:b/>
          <w:bCs/>
          <w:sz w:val="28"/>
          <w:szCs w:val="28"/>
        </w:rPr>
        <w:t>3- T-cell acute lymphoblastic leukemia (T-ALL):</w:t>
      </w:r>
    </w:p>
    <w:p w:rsidR="00F422D7" w:rsidRPr="00F422D7" w:rsidRDefault="00F422D7" w:rsidP="00F422D7">
      <w:pPr>
        <w:pStyle w:val="Default"/>
        <w:spacing w:line="360" w:lineRule="auto"/>
        <w:jc w:val="lowKashida"/>
        <w:rPr>
          <w:rFonts w:asciiTheme="majorBidi" w:hAnsiTheme="majorBidi" w:cstheme="majorBidi"/>
          <w:b/>
          <w:bCs/>
          <w:sz w:val="28"/>
          <w:szCs w:val="28"/>
        </w:rPr>
      </w:pPr>
      <w:r>
        <w:t xml:space="preserve">        </w:t>
      </w:r>
      <w:r w:rsidRPr="00F422D7">
        <w:rPr>
          <w:rFonts w:asciiTheme="majorBidi" w:hAnsiTheme="majorBidi" w:cstheme="majorBidi"/>
          <w:sz w:val="28"/>
          <w:szCs w:val="28"/>
        </w:rPr>
        <w:t>T-cell acute lymphoblastic leukemia (T-ALL) represents approximately 12% to 15% of all newly diagnosed ALL cases in pediatric patients and is noteworthy for its unique clinical and biological features. Although historically, outcomes for T-ALL were inferior to those of B lymphoblastic leukemia (B-ALL), with recent advances in therapy, event-free survival (EFS) rates have been steadily improving and now exceed 85% in many contemporary clinical trials</w:t>
      </w:r>
      <w:r w:rsidRPr="00F422D7">
        <w:t xml:space="preserve"> </w:t>
      </w:r>
      <w:r w:rsidRPr="00F422D7">
        <w:rPr>
          <w:b/>
          <w:bCs/>
          <w:i/>
          <w:iCs/>
          <w:sz w:val="28"/>
          <w:szCs w:val="28"/>
        </w:rPr>
        <w:t>(</w:t>
      </w:r>
      <w:proofErr w:type="spellStart"/>
      <w:r w:rsidRPr="00F422D7">
        <w:rPr>
          <w:b/>
          <w:bCs/>
          <w:i/>
          <w:iCs/>
          <w:sz w:val="28"/>
          <w:szCs w:val="28"/>
        </w:rPr>
        <w:t>Moricke</w:t>
      </w:r>
      <w:proofErr w:type="spellEnd"/>
      <w:r w:rsidRPr="00F422D7">
        <w:rPr>
          <w:b/>
          <w:bCs/>
          <w:i/>
          <w:iCs/>
          <w:sz w:val="28"/>
          <w:szCs w:val="28"/>
        </w:rPr>
        <w:t xml:space="preserve"> et al.,2016).</w:t>
      </w:r>
    </w:p>
    <w:p w:rsidR="00081D79" w:rsidRPr="005E6C49" w:rsidRDefault="00AA35AC" w:rsidP="005E6C49">
      <w:pPr>
        <w:pStyle w:val="Default"/>
        <w:spacing w:line="360" w:lineRule="auto"/>
        <w:jc w:val="lowKashida"/>
        <w:rPr>
          <w:rFonts w:asciiTheme="majorBidi" w:hAnsiTheme="majorBidi" w:cstheme="majorBidi"/>
          <w:b/>
          <w:bCs/>
          <w:i/>
          <w:iCs/>
          <w:sz w:val="28"/>
          <w:szCs w:val="28"/>
        </w:rPr>
      </w:pPr>
      <w:r w:rsidRPr="00F422D7">
        <w:rPr>
          <w:b/>
          <w:bCs/>
          <w:i/>
          <w:iCs/>
          <w:sz w:val="28"/>
          <w:szCs w:val="28"/>
        </w:rPr>
        <w:t xml:space="preserve"> </w:t>
      </w:r>
      <w:r w:rsidR="005E6C49">
        <w:t xml:space="preserve">      </w:t>
      </w:r>
      <w:r w:rsidR="00F422D7" w:rsidRPr="005E6C49">
        <w:rPr>
          <w:rFonts w:asciiTheme="majorBidi" w:hAnsiTheme="majorBidi" w:cstheme="majorBidi"/>
          <w:sz w:val="28"/>
          <w:szCs w:val="28"/>
        </w:rPr>
        <w:t>Prognostic factors and risk classification differ in T-ALL compared with its B-lineage counterpart. Several of the clinical variables used to classify risk in patients with B-ALL, including age and presenting white blood cell count (WBC), are not independently prognostic in T-ALL. Many chromosomal translocations leading to aberrant transcription factor expression have been identified in T-ALL; however, the prognostic significance of these findings within the context of contemporary therapy is unclear, and blast cytogenetics features are also not present</w:t>
      </w:r>
      <w:r w:rsidR="005E6C49">
        <w:rPr>
          <w:rFonts w:asciiTheme="majorBidi" w:hAnsiTheme="majorBidi" w:cstheme="majorBidi"/>
          <w:sz w:val="28"/>
          <w:szCs w:val="28"/>
        </w:rPr>
        <w:t xml:space="preserve">ly used for risk stratification </w:t>
      </w:r>
      <w:r w:rsidR="005E6C49" w:rsidRPr="005E6C49">
        <w:rPr>
          <w:rFonts w:asciiTheme="majorBidi" w:hAnsiTheme="majorBidi" w:cstheme="majorBidi"/>
          <w:b/>
          <w:bCs/>
          <w:i/>
          <w:iCs/>
          <w:sz w:val="28"/>
          <w:szCs w:val="28"/>
        </w:rPr>
        <w:t>(</w:t>
      </w:r>
      <w:proofErr w:type="spellStart"/>
      <w:r w:rsidR="005E6C49" w:rsidRPr="005E6C49">
        <w:rPr>
          <w:b/>
          <w:bCs/>
          <w:i/>
          <w:iCs/>
          <w:sz w:val="28"/>
          <w:szCs w:val="28"/>
        </w:rPr>
        <w:t>Vora</w:t>
      </w:r>
      <w:proofErr w:type="spellEnd"/>
      <w:r w:rsidR="005E6C49" w:rsidRPr="005E6C49">
        <w:rPr>
          <w:b/>
          <w:bCs/>
          <w:i/>
          <w:iCs/>
          <w:sz w:val="28"/>
          <w:szCs w:val="28"/>
        </w:rPr>
        <w:t xml:space="preserve"> et al. 2013).</w:t>
      </w:r>
    </w:p>
    <w:p w:rsidR="00697EFE" w:rsidRDefault="00697EFE" w:rsidP="009A4AEE">
      <w:pPr>
        <w:pStyle w:val="Default"/>
        <w:spacing w:line="360" w:lineRule="auto"/>
        <w:jc w:val="lowKashida"/>
        <w:rPr>
          <w:b/>
          <w:bCs/>
          <w:sz w:val="32"/>
          <w:szCs w:val="32"/>
        </w:rPr>
      </w:pPr>
    </w:p>
    <w:p w:rsidR="00697EFE" w:rsidRDefault="00697EFE" w:rsidP="009A4AEE">
      <w:pPr>
        <w:pStyle w:val="Default"/>
        <w:spacing w:line="360" w:lineRule="auto"/>
        <w:jc w:val="lowKashida"/>
        <w:rPr>
          <w:b/>
          <w:bCs/>
          <w:sz w:val="32"/>
          <w:szCs w:val="32"/>
        </w:rPr>
      </w:pPr>
    </w:p>
    <w:p w:rsidR="00CE289A" w:rsidRDefault="00CE289A" w:rsidP="009A4AEE">
      <w:pPr>
        <w:pStyle w:val="Default"/>
        <w:spacing w:line="360" w:lineRule="auto"/>
        <w:jc w:val="lowKashida"/>
        <w:rPr>
          <w:b/>
          <w:bCs/>
          <w:sz w:val="32"/>
          <w:szCs w:val="32"/>
        </w:rPr>
      </w:pPr>
    </w:p>
    <w:p w:rsidR="00F742F6" w:rsidRDefault="00F742F6" w:rsidP="009A4AEE">
      <w:pPr>
        <w:pStyle w:val="Default"/>
        <w:spacing w:line="360" w:lineRule="auto"/>
        <w:jc w:val="lowKashida"/>
        <w:rPr>
          <w:b/>
          <w:bCs/>
          <w:sz w:val="32"/>
          <w:szCs w:val="32"/>
        </w:rPr>
      </w:pPr>
    </w:p>
    <w:p w:rsidR="00F742F6" w:rsidRDefault="00F742F6" w:rsidP="009A4AEE">
      <w:pPr>
        <w:pStyle w:val="Default"/>
        <w:spacing w:line="360" w:lineRule="auto"/>
        <w:jc w:val="lowKashida"/>
        <w:rPr>
          <w:b/>
          <w:bCs/>
          <w:sz w:val="32"/>
          <w:szCs w:val="32"/>
        </w:rPr>
      </w:pPr>
    </w:p>
    <w:p w:rsidR="00532481" w:rsidRDefault="00D2365C" w:rsidP="009A4AEE">
      <w:pPr>
        <w:pStyle w:val="Default"/>
        <w:spacing w:line="360" w:lineRule="auto"/>
        <w:jc w:val="lowKashida"/>
        <w:rPr>
          <w:b/>
          <w:bCs/>
          <w:sz w:val="32"/>
          <w:szCs w:val="32"/>
          <w:u w:val="single"/>
        </w:rPr>
      </w:pPr>
      <w:r>
        <w:rPr>
          <w:b/>
          <w:bCs/>
          <w:sz w:val="32"/>
          <w:szCs w:val="32"/>
        </w:rPr>
        <w:t>D</w:t>
      </w:r>
      <w:r w:rsidR="00CA59A1" w:rsidRPr="00CA59A1">
        <w:rPr>
          <w:b/>
          <w:bCs/>
          <w:sz w:val="32"/>
          <w:szCs w:val="32"/>
        </w:rPr>
        <w:t>-</w:t>
      </w:r>
      <w:r w:rsidR="00CA59A1" w:rsidRPr="00305D45">
        <w:rPr>
          <w:b/>
          <w:bCs/>
          <w:sz w:val="32"/>
          <w:szCs w:val="32"/>
          <w:u w:val="single"/>
        </w:rPr>
        <w:t>Symptoms:</w:t>
      </w:r>
    </w:p>
    <w:p w:rsidR="009A4AEE" w:rsidRPr="009A4AEE" w:rsidRDefault="009A4AEE" w:rsidP="00053390">
      <w:pPr>
        <w:pStyle w:val="Default"/>
        <w:spacing w:line="360" w:lineRule="auto"/>
        <w:jc w:val="lowKashida"/>
        <w:rPr>
          <w:b/>
          <w:bCs/>
          <w:i/>
          <w:iCs/>
          <w:sz w:val="28"/>
          <w:szCs w:val="28"/>
        </w:rPr>
      </w:pPr>
      <w:proofErr w:type="gramStart"/>
      <w:r w:rsidRPr="00CA5299">
        <w:rPr>
          <w:b/>
          <w:bCs/>
          <w:sz w:val="28"/>
          <w:szCs w:val="28"/>
        </w:rPr>
        <w:t>Table (</w:t>
      </w:r>
      <w:r w:rsidR="00053390">
        <w:rPr>
          <w:b/>
          <w:bCs/>
          <w:sz w:val="28"/>
          <w:szCs w:val="28"/>
        </w:rPr>
        <w:t>1</w:t>
      </w:r>
      <w:r w:rsidRPr="00CA5299">
        <w:rPr>
          <w:b/>
          <w:bCs/>
          <w:sz w:val="28"/>
          <w:szCs w:val="28"/>
        </w:rPr>
        <w:t>)</w:t>
      </w:r>
      <w:r w:rsidRPr="009A4AEE">
        <w:rPr>
          <w:sz w:val="28"/>
          <w:szCs w:val="28"/>
        </w:rPr>
        <w:t>:</w:t>
      </w:r>
      <w:r w:rsidRPr="009A4AEE">
        <w:rPr>
          <w:rFonts w:ascii="AdvP3D1294" w:hAnsi="AdvP3D1294" w:cs="AdvP3D1294"/>
          <w:sz w:val="28"/>
          <w:szCs w:val="28"/>
        </w:rPr>
        <w:t xml:space="preserve"> Presentations of acute </w:t>
      </w:r>
      <w:proofErr w:type="spellStart"/>
      <w:r w:rsidRPr="009A4AEE">
        <w:rPr>
          <w:rFonts w:ascii="AdvP3D1294" w:hAnsi="AdvP3D1294" w:cs="AdvP3D1294"/>
          <w:sz w:val="28"/>
          <w:szCs w:val="28"/>
        </w:rPr>
        <w:t>leukaemia</w:t>
      </w:r>
      <w:proofErr w:type="spellEnd"/>
      <w:r w:rsidRPr="009A4AEE">
        <w:rPr>
          <w:rFonts w:ascii="AdvP3D1294" w:hAnsi="AdvP3D1294" w:cs="AdvP3D1294"/>
          <w:sz w:val="28"/>
          <w:szCs w:val="28"/>
        </w:rPr>
        <w:t xml:space="preserve"> in children</w:t>
      </w:r>
      <w:r w:rsidRPr="009A4AEE">
        <w:rPr>
          <w:sz w:val="28"/>
          <w:szCs w:val="28"/>
        </w:rPr>
        <w:t xml:space="preserve"> </w:t>
      </w:r>
      <w:r w:rsidRPr="009A4AEE">
        <w:rPr>
          <w:b/>
          <w:bCs/>
          <w:i/>
          <w:iCs/>
          <w:sz w:val="28"/>
          <w:szCs w:val="28"/>
        </w:rPr>
        <w:t>(</w:t>
      </w:r>
      <w:r w:rsidRPr="009A4AEE">
        <w:rPr>
          <w:rFonts w:ascii="AdvP3D12A0" w:hAnsi="AdvP3D12A0" w:cs="AdvP3D12A0"/>
          <w:b/>
          <w:bCs/>
          <w:i/>
          <w:iCs/>
          <w:sz w:val="28"/>
          <w:szCs w:val="28"/>
        </w:rPr>
        <w:t>Alvarez et al., 2007).</w:t>
      </w:r>
      <w:proofErr w:type="gramEnd"/>
    </w:p>
    <w:tbl>
      <w:tblPr>
        <w:tblStyle w:val="TableGrid"/>
        <w:tblW w:w="0" w:type="auto"/>
        <w:tblLook w:val="04A0" w:firstRow="1" w:lastRow="0" w:firstColumn="1" w:lastColumn="0" w:noHBand="0" w:noVBand="1"/>
      </w:tblPr>
      <w:tblGrid>
        <w:gridCol w:w="4261"/>
        <w:gridCol w:w="4261"/>
      </w:tblGrid>
      <w:tr w:rsidR="00532481" w:rsidTr="001B7608">
        <w:trPr>
          <w:trHeight w:val="677"/>
        </w:trPr>
        <w:tc>
          <w:tcPr>
            <w:tcW w:w="4261" w:type="dxa"/>
          </w:tcPr>
          <w:p w:rsidR="00532481" w:rsidRPr="001B7608" w:rsidRDefault="00532481" w:rsidP="000616C7">
            <w:pPr>
              <w:autoSpaceDE w:val="0"/>
              <w:autoSpaceDN w:val="0"/>
              <w:bidi w:val="0"/>
              <w:adjustRightInd w:val="0"/>
              <w:spacing w:line="360" w:lineRule="auto"/>
              <w:rPr>
                <w:rFonts w:ascii="AdvP3D1294" w:hAnsi="AdvP3D1294" w:cs="AdvP3D1294"/>
                <w:b/>
                <w:bCs/>
                <w:sz w:val="28"/>
                <w:szCs w:val="28"/>
              </w:rPr>
            </w:pPr>
            <w:r w:rsidRPr="001B7608">
              <w:rPr>
                <w:rFonts w:ascii="AdvP3D1294" w:hAnsi="AdvP3D1294" w:cs="AdvP3D1294"/>
                <w:b/>
                <w:bCs/>
                <w:sz w:val="28"/>
                <w:szCs w:val="28"/>
              </w:rPr>
              <w:t>Underlying pathophysiology</w:t>
            </w:r>
          </w:p>
        </w:tc>
        <w:tc>
          <w:tcPr>
            <w:tcW w:w="4261" w:type="dxa"/>
          </w:tcPr>
          <w:p w:rsidR="00532481" w:rsidRPr="001B7608" w:rsidRDefault="00532481" w:rsidP="000616C7">
            <w:pPr>
              <w:pStyle w:val="Default"/>
              <w:spacing w:line="360" w:lineRule="auto"/>
              <w:jc w:val="lowKashida"/>
              <w:rPr>
                <w:b/>
                <w:bCs/>
                <w:sz w:val="28"/>
                <w:szCs w:val="28"/>
                <w:u w:val="single"/>
              </w:rPr>
            </w:pPr>
            <w:r w:rsidRPr="001B7608">
              <w:rPr>
                <w:rFonts w:ascii="AdvP3D1294" w:hAnsi="AdvP3D1294" w:cs="AdvP3D1294"/>
                <w:b/>
                <w:bCs/>
                <w:sz w:val="28"/>
                <w:szCs w:val="28"/>
              </w:rPr>
              <w:t>Symptoms and signs</w:t>
            </w:r>
          </w:p>
        </w:tc>
      </w:tr>
      <w:tr w:rsidR="00532481" w:rsidTr="00532481">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Systemic effects of cytokines</w:t>
            </w:r>
          </w:p>
        </w:tc>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Malaise,</w:t>
            </w:r>
            <w:r w:rsidR="009A4AEE">
              <w:rPr>
                <w:rFonts w:ascii="AdvP3D12A0" w:hAnsi="AdvP3D12A0" w:cs="AdvP3D12A0"/>
                <w:sz w:val="28"/>
                <w:szCs w:val="28"/>
              </w:rPr>
              <w:t xml:space="preserve"> f</w:t>
            </w:r>
            <w:r w:rsidRPr="009A4AEE">
              <w:rPr>
                <w:rFonts w:ascii="AdvP3D12A0" w:hAnsi="AdvP3D12A0" w:cs="AdvP3D12A0"/>
                <w:sz w:val="28"/>
                <w:szCs w:val="28"/>
              </w:rPr>
              <w:t>atigue,</w:t>
            </w:r>
            <w:r w:rsidR="009A4AEE">
              <w:rPr>
                <w:rFonts w:ascii="AdvP3D12A0" w:hAnsi="AdvP3D12A0" w:cs="AdvP3D12A0"/>
                <w:sz w:val="28"/>
                <w:szCs w:val="28"/>
              </w:rPr>
              <w:t xml:space="preserve"> n</w:t>
            </w:r>
            <w:r w:rsidRPr="009A4AEE">
              <w:rPr>
                <w:rFonts w:ascii="AdvP3D12A0" w:hAnsi="AdvP3D12A0" w:cs="AdvP3D12A0"/>
                <w:sz w:val="28"/>
                <w:szCs w:val="28"/>
              </w:rPr>
              <w:t xml:space="preserve">ausea and </w:t>
            </w:r>
            <w:r w:rsidR="009A4AEE">
              <w:rPr>
                <w:rFonts w:ascii="AdvP3D12A0" w:hAnsi="AdvP3D12A0" w:cs="AdvP3D12A0"/>
                <w:sz w:val="28"/>
                <w:szCs w:val="28"/>
              </w:rPr>
              <w:t>f</w:t>
            </w:r>
            <w:r w:rsidRPr="009A4AEE">
              <w:rPr>
                <w:rFonts w:ascii="AdvP3D12A0" w:hAnsi="AdvP3D12A0" w:cs="AdvP3D12A0"/>
                <w:sz w:val="28"/>
                <w:szCs w:val="28"/>
              </w:rPr>
              <w:t>ever</w:t>
            </w:r>
          </w:p>
        </w:tc>
      </w:tr>
      <w:tr w:rsidR="00532481" w:rsidTr="007301F2">
        <w:tc>
          <w:tcPr>
            <w:tcW w:w="8522" w:type="dxa"/>
            <w:gridSpan w:val="2"/>
          </w:tcPr>
          <w:p w:rsidR="00532481" w:rsidRPr="009A4AEE" w:rsidRDefault="00532481" w:rsidP="000616C7">
            <w:pPr>
              <w:pStyle w:val="Default"/>
              <w:spacing w:line="360" w:lineRule="auto"/>
              <w:jc w:val="lowKashida"/>
              <w:rPr>
                <w:b/>
                <w:bCs/>
                <w:sz w:val="28"/>
                <w:szCs w:val="28"/>
                <w:u w:val="single"/>
              </w:rPr>
            </w:pPr>
            <w:r w:rsidRPr="009A4AEE">
              <w:rPr>
                <w:rFonts w:ascii="AdvP3D12A0" w:hAnsi="AdvP3D12A0" w:cs="AdvP3D12A0"/>
                <w:sz w:val="28"/>
                <w:szCs w:val="28"/>
              </w:rPr>
              <w:t>Bone marrow infiltration</w:t>
            </w:r>
          </w:p>
        </w:tc>
      </w:tr>
      <w:tr w:rsidR="00532481" w:rsidTr="00532481">
        <w:tc>
          <w:tcPr>
            <w:tcW w:w="4261" w:type="dxa"/>
          </w:tcPr>
          <w:p w:rsidR="00532481" w:rsidRPr="009A4AEE" w:rsidRDefault="00532481" w:rsidP="000616C7">
            <w:pPr>
              <w:pStyle w:val="Default"/>
              <w:spacing w:line="360" w:lineRule="auto"/>
              <w:jc w:val="lowKashida"/>
              <w:rPr>
                <w:b/>
                <w:bCs/>
                <w:sz w:val="28"/>
                <w:szCs w:val="28"/>
                <w:u w:val="single"/>
              </w:rPr>
            </w:pPr>
            <w:proofErr w:type="spellStart"/>
            <w:r w:rsidRPr="009A4AEE">
              <w:rPr>
                <w:rFonts w:ascii="AdvP3D12A0" w:hAnsi="AdvP3D12A0" w:cs="AdvP3D12A0"/>
                <w:sz w:val="28"/>
                <w:szCs w:val="28"/>
              </w:rPr>
              <w:t>Anaemia</w:t>
            </w:r>
            <w:proofErr w:type="spellEnd"/>
          </w:p>
        </w:tc>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Pallor,</w:t>
            </w:r>
            <w:r w:rsidR="009A4AEE">
              <w:rPr>
                <w:rFonts w:ascii="AdvP3D12A0" w:hAnsi="AdvP3D12A0" w:cs="AdvP3D12A0"/>
                <w:sz w:val="28"/>
                <w:szCs w:val="28"/>
              </w:rPr>
              <w:t xml:space="preserve"> l</w:t>
            </w:r>
            <w:r w:rsidRPr="009A4AEE">
              <w:rPr>
                <w:rFonts w:ascii="AdvP3D12A0" w:hAnsi="AdvP3D12A0" w:cs="AdvP3D12A0"/>
                <w:sz w:val="28"/>
                <w:szCs w:val="28"/>
              </w:rPr>
              <w:t>ethargy,</w:t>
            </w:r>
            <w:r w:rsidR="009A4AEE">
              <w:rPr>
                <w:rFonts w:ascii="AdvP3D12A0" w:hAnsi="AdvP3D12A0" w:cs="AdvP3D12A0"/>
                <w:sz w:val="28"/>
                <w:szCs w:val="28"/>
              </w:rPr>
              <w:t xml:space="preserve"> s</w:t>
            </w:r>
            <w:r w:rsidRPr="009A4AEE">
              <w:rPr>
                <w:rFonts w:ascii="AdvP3D12A0" w:hAnsi="AdvP3D12A0" w:cs="AdvP3D12A0"/>
                <w:sz w:val="28"/>
                <w:szCs w:val="28"/>
              </w:rPr>
              <w:t>hortness of breath</w:t>
            </w:r>
            <w:r w:rsidR="009A4AEE">
              <w:rPr>
                <w:rFonts w:ascii="AdvP3D12A0" w:hAnsi="AdvP3D12A0" w:cs="AdvP3D12A0"/>
                <w:sz w:val="28"/>
                <w:szCs w:val="28"/>
              </w:rPr>
              <w:t>, d</w:t>
            </w:r>
            <w:r w:rsidRPr="009A4AEE">
              <w:rPr>
                <w:rFonts w:ascii="AdvP3D12A0" w:hAnsi="AdvP3D12A0" w:cs="AdvP3D12A0"/>
                <w:sz w:val="28"/>
                <w:szCs w:val="28"/>
              </w:rPr>
              <w:t>izziness,</w:t>
            </w:r>
            <w:r w:rsidR="009A4AEE">
              <w:rPr>
                <w:rFonts w:ascii="AdvP3D12A0" w:hAnsi="AdvP3D12A0" w:cs="AdvP3D12A0"/>
                <w:sz w:val="28"/>
                <w:szCs w:val="28"/>
              </w:rPr>
              <w:t xml:space="preserve"> p</w:t>
            </w:r>
            <w:r w:rsidRPr="009A4AEE">
              <w:rPr>
                <w:rFonts w:ascii="AdvP3D12A0" w:hAnsi="AdvP3D12A0" w:cs="AdvP3D12A0"/>
                <w:sz w:val="28"/>
                <w:szCs w:val="28"/>
              </w:rPr>
              <w:t>alpitations</w:t>
            </w:r>
          </w:p>
          <w:p w:rsidR="00532481" w:rsidRPr="009A4AEE" w:rsidRDefault="00532481" w:rsidP="000616C7">
            <w:pPr>
              <w:pStyle w:val="Default"/>
              <w:spacing w:line="360" w:lineRule="auto"/>
              <w:jc w:val="lowKashida"/>
              <w:rPr>
                <w:b/>
                <w:bCs/>
                <w:sz w:val="28"/>
                <w:szCs w:val="28"/>
                <w:u w:val="single"/>
              </w:rPr>
            </w:pPr>
            <w:r w:rsidRPr="009A4AEE">
              <w:rPr>
                <w:rFonts w:ascii="AdvP3D12A0" w:hAnsi="AdvP3D12A0" w:cs="AdvP3D12A0"/>
                <w:sz w:val="28"/>
                <w:szCs w:val="28"/>
              </w:rPr>
              <w:t xml:space="preserve"> </w:t>
            </w:r>
            <w:r w:rsidR="009A4AEE" w:rsidRPr="009A4AEE">
              <w:rPr>
                <w:rFonts w:ascii="AdvP3D12A0" w:hAnsi="AdvP3D12A0" w:cs="AdvP3D12A0"/>
                <w:sz w:val="28"/>
                <w:szCs w:val="28"/>
              </w:rPr>
              <w:t>A</w:t>
            </w:r>
            <w:r w:rsidRPr="009A4AEE">
              <w:rPr>
                <w:rFonts w:ascii="AdvP3D12A0" w:hAnsi="AdvP3D12A0" w:cs="AdvP3D12A0"/>
                <w:sz w:val="28"/>
                <w:szCs w:val="28"/>
              </w:rPr>
              <w:t>nd</w:t>
            </w:r>
            <w:r w:rsidR="009A4AEE">
              <w:rPr>
                <w:rFonts w:ascii="AdvP3D12A0" w:hAnsi="AdvP3D12A0" w:cs="AdvP3D12A0"/>
                <w:sz w:val="28"/>
                <w:szCs w:val="28"/>
              </w:rPr>
              <w:t xml:space="preserve"> r</w:t>
            </w:r>
            <w:r w:rsidRPr="009A4AEE">
              <w:rPr>
                <w:rFonts w:ascii="AdvP3D12A0" w:hAnsi="AdvP3D12A0" w:cs="AdvP3D12A0"/>
                <w:sz w:val="28"/>
                <w:szCs w:val="28"/>
              </w:rPr>
              <w:t>educed exercise tolerance</w:t>
            </w:r>
          </w:p>
        </w:tc>
      </w:tr>
      <w:tr w:rsidR="00532481" w:rsidTr="00532481">
        <w:tc>
          <w:tcPr>
            <w:tcW w:w="4261" w:type="dxa"/>
          </w:tcPr>
          <w:p w:rsidR="00532481" w:rsidRPr="009A4AEE" w:rsidRDefault="00532481" w:rsidP="000616C7">
            <w:pPr>
              <w:pStyle w:val="Default"/>
              <w:spacing w:line="360" w:lineRule="auto"/>
              <w:jc w:val="lowKashida"/>
              <w:rPr>
                <w:b/>
                <w:bCs/>
                <w:sz w:val="28"/>
                <w:szCs w:val="28"/>
                <w:u w:val="single"/>
              </w:rPr>
            </w:pPr>
            <w:r w:rsidRPr="009A4AEE">
              <w:rPr>
                <w:rFonts w:ascii="AdvP3D12A0" w:hAnsi="AdvP3D12A0" w:cs="AdvP3D12A0"/>
                <w:sz w:val="28"/>
                <w:szCs w:val="28"/>
              </w:rPr>
              <w:t>Neutropenia</w:t>
            </w:r>
          </w:p>
        </w:tc>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Fever,</w:t>
            </w:r>
            <w:r w:rsidR="009A4AEE">
              <w:rPr>
                <w:rFonts w:ascii="AdvP3D12A0" w:hAnsi="AdvP3D12A0" w:cs="AdvP3D12A0"/>
                <w:sz w:val="28"/>
                <w:szCs w:val="28"/>
              </w:rPr>
              <w:t xml:space="preserve"> infection in </w:t>
            </w:r>
            <w:r w:rsidRPr="009A4AEE">
              <w:rPr>
                <w:rFonts w:ascii="AdvP3D12A0" w:hAnsi="AdvP3D12A0" w:cs="AdvP3D12A0"/>
                <w:sz w:val="28"/>
                <w:szCs w:val="28"/>
              </w:rPr>
              <w:t>general,</w:t>
            </w:r>
            <w:r w:rsidR="009A4AEE">
              <w:rPr>
                <w:rFonts w:ascii="AdvP3D12A0" w:hAnsi="AdvP3D12A0" w:cs="AdvP3D12A0"/>
                <w:sz w:val="28"/>
                <w:szCs w:val="28"/>
              </w:rPr>
              <w:t xml:space="preserve"> recurrent infection </w:t>
            </w:r>
            <w:r w:rsidRPr="009A4AEE">
              <w:rPr>
                <w:rFonts w:ascii="AdvP3D12A0" w:hAnsi="AdvP3D12A0" w:cs="AdvP3D12A0"/>
                <w:sz w:val="28"/>
                <w:szCs w:val="28"/>
              </w:rPr>
              <w:t>and</w:t>
            </w:r>
            <w:r w:rsidR="004023D2">
              <w:rPr>
                <w:rFonts w:ascii="AdvP3D12A0" w:hAnsi="AdvP3D12A0" w:cs="AdvP3D12A0"/>
                <w:sz w:val="28"/>
                <w:szCs w:val="28"/>
              </w:rPr>
              <w:t xml:space="preserve"> u</w:t>
            </w:r>
            <w:r w:rsidRPr="009A4AEE">
              <w:rPr>
                <w:rFonts w:ascii="AdvP3D12A0" w:hAnsi="AdvP3D12A0" w:cs="AdvP3D12A0"/>
                <w:sz w:val="28"/>
                <w:szCs w:val="28"/>
              </w:rPr>
              <w:t xml:space="preserve">nusual infections, </w:t>
            </w:r>
            <w:proofErr w:type="spellStart"/>
            <w:r w:rsidRPr="009A4AEE">
              <w:rPr>
                <w:rFonts w:ascii="AdvP3D12A0" w:hAnsi="AdvP3D12A0" w:cs="AdvP3D12A0"/>
                <w:sz w:val="28"/>
                <w:szCs w:val="28"/>
              </w:rPr>
              <w:t>eg</w:t>
            </w:r>
            <w:proofErr w:type="spellEnd"/>
            <w:r w:rsidRPr="009A4AEE">
              <w:rPr>
                <w:rFonts w:ascii="AdvP3D12A0" w:hAnsi="AdvP3D12A0" w:cs="AdvP3D12A0"/>
                <w:sz w:val="28"/>
                <w:szCs w:val="28"/>
              </w:rPr>
              <w:t xml:space="preserve"> oral candida</w:t>
            </w:r>
          </w:p>
        </w:tc>
      </w:tr>
      <w:tr w:rsidR="00532481" w:rsidTr="00532481">
        <w:tc>
          <w:tcPr>
            <w:tcW w:w="4261" w:type="dxa"/>
          </w:tcPr>
          <w:p w:rsidR="00532481" w:rsidRPr="009A4AEE" w:rsidRDefault="00532481" w:rsidP="000616C7">
            <w:pPr>
              <w:pStyle w:val="Default"/>
              <w:spacing w:line="360" w:lineRule="auto"/>
              <w:jc w:val="lowKashida"/>
              <w:rPr>
                <w:b/>
                <w:bCs/>
                <w:sz w:val="28"/>
                <w:szCs w:val="28"/>
                <w:u w:val="single"/>
              </w:rPr>
            </w:pPr>
            <w:r w:rsidRPr="009A4AEE">
              <w:rPr>
                <w:rFonts w:ascii="AdvP3D12A0" w:hAnsi="AdvP3D12A0" w:cs="AdvP3D12A0"/>
                <w:sz w:val="28"/>
                <w:szCs w:val="28"/>
              </w:rPr>
              <w:t>Thrombocytopenia</w:t>
            </w:r>
          </w:p>
        </w:tc>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 xml:space="preserve">Bruising, </w:t>
            </w:r>
            <w:proofErr w:type="spellStart"/>
            <w:r w:rsidR="004023D2">
              <w:rPr>
                <w:rFonts w:ascii="AdvP3D12A0" w:hAnsi="AdvP3D12A0" w:cs="AdvP3D12A0"/>
                <w:sz w:val="28"/>
                <w:szCs w:val="28"/>
              </w:rPr>
              <w:t>p</w:t>
            </w:r>
            <w:r w:rsidRPr="009A4AEE">
              <w:rPr>
                <w:rFonts w:ascii="AdvP3D12A0" w:hAnsi="AdvP3D12A0" w:cs="AdvP3D12A0"/>
                <w:sz w:val="28"/>
                <w:szCs w:val="28"/>
              </w:rPr>
              <w:t>etechiae</w:t>
            </w:r>
            <w:proofErr w:type="spellEnd"/>
            <w:r w:rsidRPr="009A4AEE">
              <w:rPr>
                <w:rFonts w:ascii="AdvP3D12A0" w:hAnsi="AdvP3D12A0" w:cs="AdvP3D12A0"/>
                <w:sz w:val="28"/>
                <w:szCs w:val="28"/>
              </w:rPr>
              <w:t xml:space="preserve"> and </w:t>
            </w:r>
            <w:r w:rsidR="004023D2">
              <w:rPr>
                <w:rFonts w:ascii="AdvP3D12A0" w:hAnsi="AdvP3D12A0" w:cs="AdvP3D12A0"/>
                <w:sz w:val="28"/>
                <w:szCs w:val="28"/>
              </w:rPr>
              <w:t>e</w:t>
            </w:r>
            <w:r w:rsidRPr="009A4AEE">
              <w:rPr>
                <w:rFonts w:ascii="AdvP3D12A0" w:hAnsi="AdvP3D12A0" w:cs="AdvP3D12A0"/>
                <w:sz w:val="28"/>
                <w:szCs w:val="28"/>
              </w:rPr>
              <w:t>pistaxis</w:t>
            </w:r>
          </w:p>
        </w:tc>
      </w:tr>
      <w:tr w:rsidR="00532481" w:rsidTr="00532481">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Reticuloendothelial infiltration</w:t>
            </w:r>
          </w:p>
        </w:tc>
        <w:tc>
          <w:tcPr>
            <w:tcW w:w="4261" w:type="dxa"/>
          </w:tcPr>
          <w:p w:rsidR="00532481" w:rsidRPr="009A4AEE" w:rsidRDefault="00532481" w:rsidP="00B1295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 xml:space="preserve">Hepatosplenomegaly, </w:t>
            </w:r>
            <w:r w:rsidR="004023D2">
              <w:rPr>
                <w:rFonts w:ascii="AdvP3D12A0" w:hAnsi="AdvP3D12A0" w:cs="AdvP3D12A0"/>
                <w:sz w:val="28"/>
                <w:szCs w:val="28"/>
              </w:rPr>
              <w:t>l</w:t>
            </w:r>
            <w:r w:rsidRPr="009A4AEE">
              <w:rPr>
                <w:rFonts w:ascii="AdvP3D12A0" w:hAnsi="AdvP3D12A0" w:cs="AdvP3D12A0"/>
                <w:sz w:val="28"/>
                <w:szCs w:val="28"/>
              </w:rPr>
              <w:t xml:space="preserve">ymphadenopathy, </w:t>
            </w:r>
            <w:r w:rsidR="004023D2">
              <w:rPr>
                <w:rFonts w:ascii="AdvP3D12A0" w:hAnsi="AdvP3D12A0" w:cs="AdvP3D12A0"/>
                <w:sz w:val="28"/>
                <w:szCs w:val="28"/>
              </w:rPr>
              <w:t>e</w:t>
            </w:r>
            <w:r w:rsidRPr="009A4AEE">
              <w:rPr>
                <w:rFonts w:ascii="AdvP3D12A0" w:hAnsi="AdvP3D12A0" w:cs="AdvP3D12A0"/>
                <w:sz w:val="28"/>
                <w:szCs w:val="28"/>
              </w:rPr>
              <w:t xml:space="preserve">xpiratory </w:t>
            </w:r>
            <w:r w:rsidR="004023D2">
              <w:rPr>
                <w:rFonts w:ascii="AdvP3D12A0" w:hAnsi="AdvP3D12A0" w:cs="AdvP3D12A0"/>
                <w:sz w:val="28"/>
                <w:szCs w:val="28"/>
              </w:rPr>
              <w:t>w</w:t>
            </w:r>
            <w:r w:rsidRPr="009A4AEE">
              <w:rPr>
                <w:rFonts w:ascii="AdvP3D12A0" w:hAnsi="AdvP3D12A0" w:cs="AdvP3D12A0"/>
                <w:sz w:val="28"/>
                <w:szCs w:val="28"/>
              </w:rPr>
              <w:t xml:space="preserve">heeze secondary to mediastinal mass (due to lymphadenopathy, </w:t>
            </w:r>
            <w:proofErr w:type="spellStart"/>
            <w:r w:rsidRPr="009A4AEE">
              <w:rPr>
                <w:rFonts w:ascii="AdvP3D12A0" w:hAnsi="AdvP3D12A0" w:cs="AdvP3D12A0"/>
                <w:sz w:val="28"/>
                <w:szCs w:val="28"/>
              </w:rPr>
              <w:t>thymic</w:t>
            </w:r>
            <w:proofErr w:type="spellEnd"/>
            <w:r w:rsidRPr="009A4AEE">
              <w:rPr>
                <w:rFonts w:ascii="AdvP3D12A0" w:hAnsi="AdvP3D12A0" w:cs="AdvP3D12A0"/>
                <w:sz w:val="28"/>
                <w:szCs w:val="28"/>
              </w:rPr>
              <w:t xml:space="preserve"> infiltration or expansion).</w:t>
            </w:r>
          </w:p>
        </w:tc>
      </w:tr>
      <w:tr w:rsidR="00532481" w:rsidTr="007301F2">
        <w:tc>
          <w:tcPr>
            <w:tcW w:w="8522" w:type="dxa"/>
            <w:gridSpan w:val="2"/>
          </w:tcPr>
          <w:p w:rsidR="00532481" w:rsidRPr="009A4AEE" w:rsidRDefault="00532481" w:rsidP="000616C7">
            <w:pPr>
              <w:pStyle w:val="Default"/>
              <w:spacing w:line="360" w:lineRule="auto"/>
              <w:jc w:val="lowKashida"/>
              <w:rPr>
                <w:b/>
                <w:bCs/>
                <w:sz w:val="28"/>
                <w:szCs w:val="28"/>
                <w:u w:val="single"/>
              </w:rPr>
            </w:pPr>
            <w:r w:rsidRPr="009A4AEE">
              <w:rPr>
                <w:rFonts w:ascii="AdvP3D12A0" w:hAnsi="AdvP3D12A0" w:cs="AdvP3D12A0"/>
                <w:sz w:val="28"/>
                <w:szCs w:val="28"/>
              </w:rPr>
              <w:t>Other organ infiltration</w:t>
            </w:r>
          </w:p>
        </w:tc>
      </w:tr>
      <w:tr w:rsidR="00532481" w:rsidTr="00532481">
        <w:tc>
          <w:tcPr>
            <w:tcW w:w="4261" w:type="dxa"/>
          </w:tcPr>
          <w:p w:rsidR="00532481" w:rsidRPr="009A4AEE" w:rsidRDefault="00532481" w:rsidP="000616C7">
            <w:pPr>
              <w:autoSpaceDE w:val="0"/>
              <w:autoSpaceDN w:val="0"/>
              <w:bidi w:val="0"/>
              <w:adjustRightInd w:val="0"/>
              <w:spacing w:line="360" w:lineRule="auto"/>
              <w:rPr>
                <w:b/>
                <w:bCs/>
                <w:sz w:val="28"/>
                <w:szCs w:val="28"/>
                <w:u w:val="single"/>
              </w:rPr>
            </w:pPr>
            <w:r w:rsidRPr="009A4AEE">
              <w:rPr>
                <w:rFonts w:ascii="AdvP3D12A0" w:hAnsi="AdvP3D12A0" w:cs="AdvP3D12A0"/>
                <w:sz w:val="28"/>
                <w:szCs w:val="28"/>
              </w:rPr>
              <w:t xml:space="preserve">CNS </w:t>
            </w:r>
          </w:p>
          <w:p w:rsidR="00532481" w:rsidRPr="009A4AEE" w:rsidRDefault="00532481" w:rsidP="000616C7">
            <w:pPr>
              <w:pStyle w:val="Default"/>
              <w:spacing w:line="360" w:lineRule="auto"/>
              <w:jc w:val="lowKashida"/>
              <w:rPr>
                <w:b/>
                <w:bCs/>
                <w:sz w:val="28"/>
                <w:szCs w:val="28"/>
                <w:u w:val="single"/>
              </w:rPr>
            </w:pPr>
          </w:p>
        </w:tc>
        <w:tc>
          <w:tcPr>
            <w:tcW w:w="4261" w:type="dxa"/>
          </w:tcPr>
          <w:p w:rsidR="00532481" w:rsidRPr="009A4AEE" w:rsidRDefault="00532481"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 xml:space="preserve">Headaches </w:t>
            </w:r>
            <w:r w:rsidR="009A4AEE" w:rsidRPr="009A4AEE">
              <w:rPr>
                <w:rFonts w:ascii="AdvP3D12A0" w:hAnsi="AdvP3D12A0" w:cs="AdvP3D12A0"/>
                <w:sz w:val="28"/>
                <w:szCs w:val="28"/>
              </w:rPr>
              <w:t>,</w:t>
            </w:r>
            <w:r w:rsidR="004023D2">
              <w:rPr>
                <w:rFonts w:ascii="AdvP3D12A0" w:hAnsi="AdvP3D12A0" w:cs="AdvP3D12A0"/>
                <w:sz w:val="28"/>
                <w:szCs w:val="28"/>
              </w:rPr>
              <w:t>v</w:t>
            </w:r>
            <w:r w:rsidR="009A4AEE" w:rsidRPr="009A4AEE">
              <w:rPr>
                <w:rFonts w:ascii="AdvP3D12A0" w:hAnsi="AdvP3D12A0" w:cs="AdvP3D12A0"/>
                <w:sz w:val="28"/>
                <w:szCs w:val="28"/>
              </w:rPr>
              <w:t xml:space="preserve">omiting, </w:t>
            </w:r>
            <w:r w:rsidR="004023D2">
              <w:rPr>
                <w:rFonts w:ascii="AdvP3D12A0" w:hAnsi="AdvP3D12A0" w:cs="AdvP3D12A0"/>
                <w:sz w:val="28"/>
                <w:szCs w:val="28"/>
              </w:rPr>
              <w:t>c</w:t>
            </w:r>
            <w:r w:rsidR="009A4AEE" w:rsidRPr="009A4AEE">
              <w:rPr>
                <w:rFonts w:ascii="AdvP3D12A0" w:hAnsi="AdvP3D12A0" w:cs="AdvP3D12A0"/>
                <w:sz w:val="28"/>
                <w:szCs w:val="28"/>
              </w:rPr>
              <w:t xml:space="preserve">ranial nerve palsies and </w:t>
            </w:r>
            <w:r w:rsidR="004023D2">
              <w:rPr>
                <w:rFonts w:ascii="AdvP3D12A0" w:hAnsi="AdvP3D12A0" w:cs="AdvP3D12A0"/>
                <w:sz w:val="28"/>
                <w:szCs w:val="28"/>
              </w:rPr>
              <w:t>c</w:t>
            </w:r>
            <w:r w:rsidRPr="009A4AEE">
              <w:rPr>
                <w:rFonts w:ascii="AdvP3D12A0" w:hAnsi="AdvP3D12A0" w:cs="AdvP3D12A0"/>
                <w:sz w:val="28"/>
                <w:szCs w:val="28"/>
              </w:rPr>
              <w:t>onvulsions</w:t>
            </w:r>
          </w:p>
        </w:tc>
      </w:tr>
      <w:tr w:rsidR="00532481" w:rsidTr="00532481">
        <w:tc>
          <w:tcPr>
            <w:tcW w:w="4261" w:type="dxa"/>
          </w:tcPr>
          <w:p w:rsidR="00532481" w:rsidRPr="009A4AEE" w:rsidRDefault="009A4AEE" w:rsidP="000616C7">
            <w:pPr>
              <w:pStyle w:val="Default"/>
              <w:spacing w:line="360" w:lineRule="auto"/>
              <w:jc w:val="lowKashida"/>
              <w:rPr>
                <w:b/>
                <w:bCs/>
                <w:sz w:val="28"/>
                <w:szCs w:val="28"/>
                <w:u w:val="single"/>
              </w:rPr>
            </w:pPr>
            <w:r w:rsidRPr="009A4AEE">
              <w:rPr>
                <w:rFonts w:ascii="AdvP3D12A0" w:hAnsi="AdvP3D12A0" w:cs="AdvP3D12A0"/>
                <w:sz w:val="28"/>
                <w:szCs w:val="28"/>
              </w:rPr>
              <w:t>Testes</w:t>
            </w:r>
          </w:p>
        </w:tc>
        <w:tc>
          <w:tcPr>
            <w:tcW w:w="4261" w:type="dxa"/>
          </w:tcPr>
          <w:p w:rsidR="00532481" w:rsidRPr="009A4AEE" w:rsidRDefault="009A4AEE" w:rsidP="000616C7">
            <w:pPr>
              <w:pStyle w:val="Default"/>
              <w:spacing w:line="360" w:lineRule="auto"/>
              <w:jc w:val="lowKashida"/>
              <w:rPr>
                <w:b/>
                <w:bCs/>
                <w:sz w:val="28"/>
                <w:szCs w:val="28"/>
                <w:u w:val="single"/>
              </w:rPr>
            </w:pPr>
            <w:r w:rsidRPr="009A4AEE">
              <w:rPr>
                <w:rFonts w:ascii="AdvP3D12A0" w:hAnsi="AdvP3D12A0" w:cs="AdvP3D12A0"/>
                <w:sz w:val="28"/>
                <w:szCs w:val="28"/>
              </w:rPr>
              <w:t>Testicular enlargement</w:t>
            </w:r>
          </w:p>
        </w:tc>
      </w:tr>
      <w:tr w:rsidR="00532481" w:rsidTr="00532481">
        <w:tc>
          <w:tcPr>
            <w:tcW w:w="4261" w:type="dxa"/>
          </w:tcPr>
          <w:p w:rsidR="00532481" w:rsidRPr="009A4AEE" w:rsidRDefault="009A4AEE" w:rsidP="000616C7">
            <w:pPr>
              <w:pStyle w:val="Default"/>
              <w:spacing w:line="360" w:lineRule="auto"/>
              <w:jc w:val="lowKashida"/>
              <w:rPr>
                <w:b/>
                <w:bCs/>
                <w:sz w:val="28"/>
                <w:szCs w:val="28"/>
                <w:u w:val="single"/>
              </w:rPr>
            </w:pPr>
            <w:proofErr w:type="spellStart"/>
            <w:r w:rsidRPr="009A4AEE">
              <w:rPr>
                <w:rFonts w:ascii="AdvP3D12A0" w:hAnsi="AdvP3D12A0" w:cs="AdvP3D12A0"/>
                <w:sz w:val="28"/>
                <w:szCs w:val="28"/>
              </w:rPr>
              <w:t>Leucostasis</w:t>
            </w:r>
            <w:proofErr w:type="spellEnd"/>
          </w:p>
        </w:tc>
        <w:tc>
          <w:tcPr>
            <w:tcW w:w="4261" w:type="dxa"/>
          </w:tcPr>
          <w:p w:rsidR="00532481" w:rsidRPr="009A4AEE" w:rsidRDefault="009A4AEE" w:rsidP="000616C7">
            <w:pPr>
              <w:autoSpaceDE w:val="0"/>
              <w:autoSpaceDN w:val="0"/>
              <w:bidi w:val="0"/>
              <w:adjustRightInd w:val="0"/>
              <w:spacing w:line="360" w:lineRule="auto"/>
              <w:rPr>
                <w:rFonts w:ascii="AdvP3D12A0" w:hAnsi="AdvP3D12A0" w:cs="AdvP3D12A0"/>
                <w:sz w:val="28"/>
                <w:szCs w:val="28"/>
              </w:rPr>
            </w:pPr>
            <w:r w:rsidRPr="009A4AEE">
              <w:rPr>
                <w:rFonts w:ascii="AdvP3D12A0" w:hAnsi="AdvP3D12A0" w:cs="AdvP3D12A0"/>
                <w:sz w:val="28"/>
                <w:szCs w:val="28"/>
              </w:rPr>
              <w:t xml:space="preserve">Headache, </w:t>
            </w:r>
            <w:r w:rsidR="004023D2">
              <w:rPr>
                <w:rFonts w:ascii="AdvP3D12A0" w:hAnsi="AdvP3D12A0" w:cs="AdvP3D12A0"/>
                <w:sz w:val="28"/>
                <w:szCs w:val="28"/>
              </w:rPr>
              <w:t>s</w:t>
            </w:r>
            <w:r w:rsidRPr="009A4AEE">
              <w:rPr>
                <w:rFonts w:ascii="AdvP3D12A0" w:hAnsi="AdvP3D12A0" w:cs="AdvP3D12A0"/>
                <w:sz w:val="28"/>
                <w:szCs w:val="28"/>
              </w:rPr>
              <w:t xml:space="preserve">troke, </w:t>
            </w:r>
            <w:r w:rsidR="004023D2">
              <w:rPr>
                <w:rFonts w:ascii="AdvP3D12A0" w:hAnsi="AdvP3D12A0" w:cs="AdvP3D12A0"/>
                <w:sz w:val="28"/>
                <w:szCs w:val="28"/>
              </w:rPr>
              <w:t>s</w:t>
            </w:r>
            <w:r w:rsidRPr="009A4AEE">
              <w:rPr>
                <w:rFonts w:ascii="AdvP3D12A0" w:hAnsi="AdvP3D12A0" w:cs="AdvP3D12A0"/>
                <w:sz w:val="28"/>
                <w:szCs w:val="28"/>
              </w:rPr>
              <w:t xml:space="preserve">hortness of breath and </w:t>
            </w:r>
            <w:r w:rsidR="004023D2">
              <w:rPr>
                <w:rFonts w:ascii="AdvP3D12A0" w:hAnsi="AdvP3D12A0" w:cs="AdvP3D12A0"/>
                <w:sz w:val="28"/>
                <w:szCs w:val="28"/>
              </w:rPr>
              <w:t>h</w:t>
            </w:r>
            <w:r w:rsidRPr="009A4AEE">
              <w:rPr>
                <w:rFonts w:ascii="AdvP3D12A0" w:hAnsi="AdvP3D12A0" w:cs="AdvP3D12A0"/>
                <w:sz w:val="28"/>
                <w:szCs w:val="28"/>
              </w:rPr>
              <w:t>eart failure</w:t>
            </w:r>
          </w:p>
        </w:tc>
      </w:tr>
      <w:tr w:rsidR="009A4AEE" w:rsidTr="007301F2">
        <w:tc>
          <w:tcPr>
            <w:tcW w:w="8522" w:type="dxa"/>
            <w:gridSpan w:val="2"/>
          </w:tcPr>
          <w:p w:rsidR="009A4AEE" w:rsidRPr="009A4AEE" w:rsidRDefault="009A4AEE" w:rsidP="000616C7">
            <w:pPr>
              <w:autoSpaceDE w:val="0"/>
              <w:autoSpaceDN w:val="0"/>
              <w:bidi w:val="0"/>
              <w:adjustRightInd w:val="0"/>
              <w:spacing w:line="360" w:lineRule="auto"/>
              <w:rPr>
                <w:rFonts w:ascii="AdvP3D12A0" w:hAnsi="AdvP3D12A0" w:cs="AdvP3D12A0"/>
                <w:sz w:val="28"/>
                <w:szCs w:val="28"/>
              </w:rPr>
            </w:pPr>
            <w:proofErr w:type="spellStart"/>
            <w:r w:rsidRPr="009A4AEE">
              <w:rPr>
                <w:rFonts w:ascii="AdvP3D12A0" w:hAnsi="AdvP3D12A0" w:cs="AdvP3D12A0"/>
                <w:sz w:val="28"/>
                <w:szCs w:val="28"/>
              </w:rPr>
              <w:lastRenderedPageBreak/>
              <w:t>Leucostasis</w:t>
            </w:r>
            <w:proofErr w:type="spellEnd"/>
            <w:r w:rsidRPr="009A4AEE">
              <w:rPr>
                <w:rFonts w:ascii="AdvTT2876772e" w:hAnsi="AdvTT2876772e" w:cs="AdvTT2876772e"/>
                <w:sz w:val="28"/>
                <w:szCs w:val="28"/>
              </w:rPr>
              <w:t>=</w:t>
            </w:r>
            <w:r w:rsidRPr="009A4AEE">
              <w:rPr>
                <w:rFonts w:ascii="AdvP3D12A0" w:hAnsi="AdvP3D12A0" w:cs="AdvP3D12A0"/>
                <w:sz w:val="28"/>
                <w:szCs w:val="28"/>
              </w:rPr>
              <w:t>increased plasma viscosity secondary to extremely high</w:t>
            </w:r>
          </w:p>
          <w:p w:rsidR="009A4AEE" w:rsidRPr="009A4AEE" w:rsidRDefault="009A4AEE" w:rsidP="000616C7">
            <w:pPr>
              <w:pStyle w:val="Default"/>
              <w:spacing w:line="360" w:lineRule="auto"/>
              <w:jc w:val="lowKashida"/>
              <w:rPr>
                <w:b/>
                <w:bCs/>
                <w:sz w:val="28"/>
                <w:szCs w:val="28"/>
                <w:u w:val="single"/>
              </w:rPr>
            </w:pPr>
            <w:r w:rsidRPr="009A4AEE">
              <w:rPr>
                <w:rFonts w:ascii="AdvP3D12A0" w:hAnsi="AdvP3D12A0" w:cs="AdvP3D12A0"/>
                <w:sz w:val="28"/>
                <w:szCs w:val="28"/>
              </w:rPr>
              <w:t>white cell counts, typically &gt;100</w:t>
            </w:r>
            <w:r w:rsidRPr="009A4AEE">
              <w:rPr>
                <w:rFonts w:ascii="AdvTT2876772e" w:hAnsi="AdvTT2876772e" w:cs="AdvTT2876772e"/>
                <w:sz w:val="28"/>
                <w:szCs w:val="28"/>
              </w:rPr>
              <w:t>×</w:t>
            </w:r>
            <w:r w:rsidRPr="009A4AEE">
              <w:rPr>
                <w:rFonts w:ascii="AdvP3D12A0" w:hAnsi="AdvP3D12A0" w:cs="AdvP3D12A0"/>
                <w:sz w:val="28"/>
                <w:szCs w:val="28"/>
              </w:rPr>
              <w:t>109/l</w:t>
            </w:r>
          </w:p>
        </w:tc>
      </w:tr>
    </w:tbl>
    <w:p w:rsidR="004023D2" w:rsidRDefault="004023D2" w:rsidP="00532481">
      <w:pPr>
        <w:pStyle w:val="Default"/>
        <w:spacing w:line="360" w:lineRule="auto"/>
        <w:jc w:val="lowKashida"/>
        <w:rPr>
          <w:b/>
          <w:bCs/>
          <w:sz w:val="32"/>
          <w:szCs w:val="32"/>
          <w:u w:val="single"/>
        </w:rPr>
      </w:pPr>
    </w:p>
    <w:p w:rsidR="00697EFE" w:rsidRDefault="00697EFE" w:rsidP="009062A2">
      <w:pPr>
        <w:pStyle w:val="Default"/>
        <w:spacing w:line="360" w:lineRule="auto"/>
        <w:jc w:val="lowKashida"/>
        <w:rPr>
          <w:b/>
          <w:bCs/>
          <w:sz w:val="32"/>
          <w:szCs w:val="32"/>
          <w:u w:val="single"/>
        </w:rPr>
      </w:pPr>
    </w:p>
    <w:p w:rsidR="009062A2" w:rsidRDefault="00D2365C" w:rsidP="009062A2">
      <w:pPr>
        <w:pStyle w:val="Default"/>
        <w:spacing w:line="360" w:lineRule="auto"/>
        <w:jc w:val="lowKashida"/>
        <w:rPr>
          <w:sz w:val="28"/>
          <w:szCs w:val="28"/>
          <w:u w:val="single"/>
        </w:rPr>
      </w:pPr>
      <w:r>
        <w:rPr>
          <w:b/>
          <w:bCs/>
          <w:sz w:val="32"/>
          <w:szCs w:val="32"/>
          <w:u w:val="single"/>
        </w:rPr>
        <w:t>E</w:t>
      </w:r>
      <w:r w:rsidR="004023D2">
        <w:rPr>
          <w:b/>
          <w:bCs/>
          <w:sz w:val="32"/>
          <w:szCs w:val="32"/>
          <w:u w:val="single"/>
        </w:rPr>
        <w:t>-</w:t>
      </w:r>
      <w:r w:rsidR="00305D45" w:rsidRPr="00305D45">
        <w:rPr>
          <w:b/>
          <w:bCs/>
          <w:sz w:val="32"/>
          <w:szCs w:val="32"/>
          <w:u w:val="single"/>
        </w:rPr>
        <w:t>Diagnosis</w:t>
      </w:r>
      <w:r w:rsidR="00305D45" w:rsidRPr="00305D45">
        <w:rPr>
          <w:sz w:val="28"/>
          <w:szCs w:val="28"/>
          <w:u w:val="single"/>
        </w:rPr>
        <w:t>:</w:t>
      </w:r>
    </w:p>
    <w:p w:rsidR="00F1741F" w:rsidRDefault="00F1741F" w:rsidP="00F1741F">
      <w:pPr>
        <w:pStyle w:val="Default"/>
        <w:spacing w:line="360" w:lineRule="auto"/>
        <w:jc w:val="lowKashida"/>
        <w:rPr>
          <w:sz w:val="28"/>
          <w:szCs w:val="28"/>
        </w:rPr>
      </w:pPr>
      <w:r>
        <w:rPr>
          <w:sz w:val="28"/>
          <w:szCs w:val="28"/>
        </w:rPr>
        <w:t xml:space="preserve">      </w:t>
      </w:r>
      <w:r w:rsidRPr="00F1741F">
        <w:rPr>
          <w:sz w:val="28"/>
          <w:szCs w:val="28"/>
        </w:rPr>
        <w:t xml:space="preserve">Current standards for acute lymphoblastic leukemia (ALL) diagnosis integrate the study of cell morphology, </w:t>
      </w:r>
      <w:proofErr w:type="spellStart"/>
      <w:r w:rsidRPr="00F1741F">
        <w:rPr>
          <w:sz w:val="28"/>
          <w:szCs w:val="28"/>
        </w:rPr>
        <w:t>immunophenotype</w:t>
      </w:r>
      <w:proofErr w:type="spellEnd"/>
      <w:r w:rsidRPr="00F1741F">
        <w:rPr>
          <w:sz w:val="28"/>
          <w:szCs w:val="28"/>
        </w:rPr>
        <w:t xml:space="preserve"> and genetics/cytogenetics as detailed in the 2008 WHO classification of </w:t>
      </w:r>
    </w:p>
    <w:p w:rsidR="00F1741F" w:rsidRPr="00F1741F" w:rsidRDefault="00F1741F" w:rsidP="00F1741F">
      <w:pPr>
        <w:pStyle w:val="Default"/>
        <w:spacing w:line="360" w:lineRule="auto"/>
        <w:jc w:val="lowKashida"/>
        <w:rPr>
          <w:sz w:val="28"/>
          <w:szCs w:val="28"/>
          <w:u w:val="single"/>
        </w:rPr>
      </w:pPr>
      <w:proofErr w:type="gramStart"/>
      <w:r w:rsidRPr="00F1741F">
        <w:rPr>
          <w:sz w:val="28"/>
          <w:szCs w:val="28"/>
        </w:rPr>
        <w:t>lymphoid</w:t>
      </w:r>
      <w:proofErr w:type="gramEnd"/>
      <w:r w:rsidRPr="00F1741F">
        <w:rPr>
          <w:sz w:val="28"/>
          <w:szCs w:val="28"/>
        </w:rPr>
        <w:t xml:space="preserve"> neoplasms</w:t>
      </w:r>
      <w:r>
        <w:t xml:space="preserve"> </w:t>
      </w:r>
      <w:r w:rsidRPr="00F1741F">
        <w:rPr>
          <w:b/>
          <w:bCs/>
          <w:i/>
          <w:iCs/>
          <w:sz w:val="28"/>
          <w:szCs w:val="28"/>
        </w:rPr>
        <w:t>(</w:t>
      </w:r>
      <w:proofErr w:type="spellStart"/>
      <w:r w:rsidRPr="00F1741F">
        <w:rPr>
          <w:b/>
          <w:bCs/>
          <w:i/>
          <w:iCs/>
          <w:sz w:val="28"/>
          <w:szCs w:val="28"/>
        </w:rPr>
        <w:t>Vardiman</w:t>
      </w:r>
      <w:proofErr w:type="spellEnd"/>
      <w:r w:rsidRPr="00F1741F">
        <w:rPr>
          <w:b/>
          <w:bCs/>
          <w:i/>
          <w:iCs/>
          <w:sz w:val="28"/>
          <w:szCs w:val="28"/>
        </w:rPr>
        <w:t xml:space="preserve"> et al., 2009).</w:t>
      </w:r>
    </w:p>
    <w:p w:rsidR="00305D45" w:rsidRPr="009062A2" w:rsidRDefault="00886EC2" w:rsidP="009062A2">
      <w:pPr>
        <w:pStyle w:val="Default"/>
        <w:numPr>
          <w:ilvl w:val="0"/>
          <w:numId w:val="5"/>
        </w:numPr>
        <w:spacing w:line="360" w:lineRule="auto"/>
        <w:jc w:val="lowKashida"/>
        <w:rPr>
          <w:b/>
          <w:bCs/>
          <w:sz w:val="28"/>
          <w:szCs w:val="28"/>
          <w:u w:val="single"/>
        </w:rPr>
      </w:pPr>
      <w:r>
        <w:rPr>
          <w:b/>
          <w:bCs/>
          <w:sz w:val="28"/>
          <w:szCs w:val="28"/>
        </w:rPr>
        <w:t>Blood tests</w:t>
      </w:r>
      <w:r w:rsidR="009062A2" w:rsidRPr="009062A2">
        <w:rPr>
          <w:b/>
          <w:bCs/>
          <w:sz w:val="28"/>
          <w:szCs w:val="28"/>
        </w:rPr>
        <w:t>:</w:t>
      </w:r>
    </w:p>
    <w:p w:rsidR="009062A2" w:rsidRPr="001B7608" w:rsidRDefault="00886EC2" w:rsidP="00F53728">
      <w:pPr>
        <w:pStyle w:val="Default"/>
        <w:numPr>
          <w:ilvl w:val="1"/>
          <w:numId w:val="6"/>
        </w:numPr>
        <w:spacing w:line="360" w:lineRule="auto"/>
        <w:jc w:val="lowKashida"/>
        <w:rPr>
          <w:rFonts w:asciiTheme="majorBidi" w:hAnsiTheme="majorBidi" w:cstheme="majorBidi"/>
          <w:b/>
          <w:bCs/>
          <w:sz w:val="28"/>
          <w:szCs w:val="28"/>
          <w:u w:val="single"/>
        </w:rPr>
      </w:pPr>
      <w:r w:rsidRPr="001B7608">
        <w:rPr>
          <w:rFonts w:asciiTheme="majorBidi" w:hAnsiTheme="majorBidi" w:cstheme="majorBidi"/>
          <w:b/>
          <w:bCs/>
          <w:sz w:val="28"/>
          <w:szCs w:val="28"/>
        </w:rPr>
        <w:t>Complete blood count (CBC) and blood cell exam (peripheral blood smear):</w:t>
      </w:r>
    </w:p>
    <w:p w:rsidR="000E7A80" w:rsidRDefault="00F53728" w:rsidP="000616C7">
      <w:pPr>
        <w:pStyle w:val="Default"/>
        <w:spacing w:line="360" w:lineRule="auto"/>
        <w:jc w:val="lowKashida"/>
        <w:rPr>
          <w:noProof/>
        </w:rPr>
      </w:pPr>
      <w:r>
        <w:rPr>
          <w:sz w:val="28"/>
          <w:szCs w:val="28"/>
        </w:rPr>
        <w:t xml:space="preserve">        </w:t>
      </w:r>
      <w:r w:rsidR="000616C7">
        <w:rPr>
          <w:sz w:val="28"/>
          <w:szCs w:val="28"/>
        </w:rPr>
        <w:t>A</w:t>
      </w:r>
      <w:r w:rsidR="009062A2" w:rsidRPr="009062A2">
        <w:rPr>
          <w:sz w:val="28"/>
          <w:szCs w:val="28"/>
        </w:rPr>
        <w:t xml:space="preserve"> moderate to mark</w:t>
      </w:r>
      <w:r>
        <w:rPr>
          <w:sz w:val="28"/>
          <w:szCs w:val="28"/>
        </w:rPr>
        <w:t xml:space="preserve">ed reduction of hemoglobin </w:t>
      </w:r>
      <w:proofErr w:type="gramStart"/>
      <w:r>
        <w:rPr>
          <w:sz w:val="28"/>
          <w:szCs w:val="28"/>
        </w:rPr>
        <w:t xml:space="preserve">with  </w:t>
      </w:r>
      <w:r w:rsidR="009062A2" w:rsidRPr="009062A2">
        <w:rPr>
          <w:sz w:val="28"/>
          <w:szCs w:val="28"/>
        </w:rPr>
        <w:t>normocytic</w:t>
      </w:r>
      <w:proofErr w:type="gramEnd"/>
      <w:r w:rsidR="009062A2" w:rsidRPr="009062A2">
        <w:rPr>
          <w:sz w:val="28"/>
          <w:szCs w:val="28"/>
        </w:rPr>
        <w:t xml:space="preserve"> and normo</w:t>
      </w:r>
      <w:r>
        <w:rPr>
          <w:sz w:val="28"/>
          <w:szCs w:val="28"/>
        </w:rPr>
        <w:t>chromic red cell morphology. Low</w:t>
      </w:r>
      <w:r w:rsidR="009062A2" w:rsidRPr="009062A2">
        <w:rPr>
          <w:sz w:val="28"/>
          <w:szCs w:val="28"/>
        </w:rPr>
        <w:t xml:space="preserve"> hemoglobin indicates longer duration of leukemia. When the WBC count is greater than 10000/ mm, blasts are usually abundant. Eosinophilia is occasionally seen in children with ALL, while 20% of patients with AML have an increased number of basophils. Fourth, 92% of patients have platelets count below normal (thrombocytopenia) </w:t>
      </w:r>
      <w:r w:rsidR="009062A2" w:rsidRPr="009062A2">
        <w:rPr>
          <w:b/>
          <w:bCs/>
          <w:i/>
          <w:iCs/>
          <w:sz w:val="28"/>
          <w:szCs w:val="28"/>
        </w:rPr>
        <w:t xml:space="preserve">(Mehta and </w:t>
      </w:r>
      <w:proofErr w:type="spellStart"/>
      <w:r w:rsidR="009062A2" w:rsidRPr="009062A2">
        <w:rPr>
          <w:b/>
          <w:bCs/>
          <w:i/>
          <w:iCs/>
          <w:sz w:val="28"/>
          <w:szCs w:val="28"/>
        </w:rPr>
        <w:t>Hoffbrand</w:t>
      </w:r>
      <w:proofErr w:type="spellEnd"/>
      <w:r w:rsidR="009062A2" w:rsidRPr="009062A2">
        <w:rPr>
          <w:b/>
          <w:bCs/>
          <w:i/>
          <w:iCs/>
          <w:sz w:val="28"/>
          <w:szCs w:val="28"/>
        </w:rPr>
        <w:t>, 2000).</w:t>
      </w:r>
      <w:r w:rsidR="005F1B9A" w:rsidRPr="005F1B9A">
        <w:rPr>
          <w:noProof/>
        </w:rPr>
        <w:t xml:space="preserve"> </w:t>
      </w: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053390" w:rsidRDefault="00053390" w:rsidP="00053390">
      <w:pPr>
        <w:pStyle w:val="Default"/>
        <w:spacing w:line="360" w:lineRule="auto"/>
        <w:jc w:val="lowKashida"/>
        <w:rPr>
          <w:b/>
          <w:bCs/>
          <w:noProof/>
          <w:sz w:val="28"/>
          <w:szCs w:val="28"/>
        </w:rPr>
      </w:pPr>
    </w:p>
    <w:p w:rsidR="00CA5299" w:rsidRDefault="00CA5299" w:rsidP="00053390">
      <w:pPr>
        <w:pStyle w:val="Default"/>
        <w:spacing w:line="360" w:lineRule="auto"/>
        <w:jc w:val="lowKashida"/>
        <w:rPr>
          <w:noProof/>
        </w:rPr>
      </w:pPr>
      <w:r w:rsidRPr="00CA5299">
        <w:rPr>
          <w:b/>
          <w:bCs/>
          <w:noProof/>
          <w:sz w:val="28"/>
          <w:szCs w:val="28"/>
        </w:rPr>
        <w:lastRenderedPageBreak/>
        <w:t>Table (</w:t>
      </w:r>
      <w:r w:rsidR="00053390">
        <w:rPr>
          <w:b/>
          <w:bCs/>
          <w:noProof/>
          <w:sz w:val="28"/>
          <w:szCs w:val="28"/>
        </w:rPr>
        <w:t>2</w:t>
      </w:r>
      <w:r w:rsidRPr="00CA5299">
        <w:rPr>
          <w:b/>
          <w:bCs/>
          <w:noProof/>
          <w:sz w:val="28"/>
          <w:szCs w:val="28"/>
        </w:rPr>
        <w:t>)</w:t>
      </w:r>
      <w:r w:rsidRPr="00CA5299">
        <w:rPr>
          <w:noProof/>
          <w:sz w:val="28"/>
          <w:szCs w:val="28"/>
        </w:rPr>
        <w:t xml:space="preserve">: </w:t>
      </w:r>
      <w:r w:rsidRPr="00CA5299">
        <w:rPr>
          <w:sz w:val="28"/>
          <w:szCs w:val="28"/>
        </w:rPr>
        <w:t>Complete Blood Count, Normal Pediatric Values</w:t>
      </w:r>
      <w:r>
        <w:rPr>
          <w:noProof/>
        </w:rPr>
        <w:t xml:space="preserve"> </w:t>
      </w:r>
      <w:r w:rsidRPr="000E7A80">
        <w:rPr>
          <w:rFonts w:asciiTheme="majorBidi" w:hAnsiTheme="majorBidi" w:cstheme="majorBidi"/>
          <w:b/>
          <w:bCs/>
          <w:i/>
          <w:iCs/>
          <w:sz w:val="28"/>
          <w:szCs w:val="28"/>
        </w:rPr>
        <w:t xml:space="preserve">(Malarkey et </w:t>
      </w:r>
      <w:proofErr w:type="gramStart"/>
      <w:r w:rsidRPr="000E7A80">
        <w:rPr>
          <w:rFonts w:asciiTheme="majorBidi" w:hAnsiTheme="majorBidi" w:cstheme="majorBidi"/>
          <w:b/>
          <w:bCs/>
          <w:i/>
          <w:iCs/>
          <w:sz w:val="28"/>
          <w:szCs w:val="28"/>
        </w:rPr>
        <w:t>al., 2000).</w:t>
      </w:r>
      <w:proofErr w:type="gramEnd"/>
    </w:p>
    <w:p w:rsidR="00CA5299" w:rsidRDefault="00CA5299" w:rsidP="00F53728">
      <w:pPr>
        <w:pStyle w:val="Default"/>
        <w:spacing w:line="360" w:lineRule="auto"/>
        <w:jc w:val="lowKashida"/>
        <w:rPr>
          <w:noProof/>
        </w:rPr>
      </w:pPr>
    </w:p>
    <w:tbl>
      <w:tblPr>
        <w:tblStyle w:val="TableGrid"/>
        <w:tblW w:w="10491" w:type="dxa"/>
        <w:tblInd w:w="-885" w:type="dxa"/>
        <w:tblLayout w:type="fixed"/>
        <w:tblLook w:val="04A0" w:firstRow="1" w:lastRow="0" w:firstColumn="1" w:lastColumn="0" w:noHBand="0" w:noVBand="1"/>
      </w:tblPr>
      <w:tblGrid>
        <w:gridCol w:w="1781"/>
        <w:gridCol w:w="1197"/>
        <w:gridCol w:w="1588"/>
        <w:gridCol w:w="1585"/>
        <w:gridCol w:w="1097"/>
        <w:gridCol w:w="1542"/>
        <w:gridCol w:w="1701"/>
      </w:tblGrid>
      <w:tr w:rsidR="000616C7" w:rsidTr="00E64B90">
        <w:trPr>
          <w:trHeight w:val="1334"/>
        </w:trPr>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Age</w:t>
            </w:r>
          </w:p>
        </w:tc>
        <w:tc>
          <w:tcPr>
            <w:tcW w:w="1197" w:type="dxa"/>
          </w:tcPr>
          <w:p w:rsidR="000E7A80" w:rsidRPr="000616C7" w:rsidRDefault="000616C7" w:rsidP="00F53728">
            <w:pPr>
              <w:pStyle w:val="Default"/>
              <w:spacing w:line="360" w:lineRule="auto"/>
              <w:jc w:val="lowKashida"/>
              <w:rPr>
                <w:b/>
                <w:bCs/>
                <w:noProof/>
                <w:sz w:val="28"/>
                <w:szCs w:val="28"/>
              </w:rPr>
            </w:pPr>
            <w:r w:rsidRPr="000616C7">
              <w:rPr>
                <w:b/>
                <w:bCs/>
                <w:sz w:val="28"/>
                <w:szCs w:val="28"/>
              </w:rPr>
              <w:t>RBCs</w:t>
            </w:r>
            <w:r w:rsidR="0071191B" w:rsidRPr="000616C7">
              <w:rPr>
                <w:b/>
                <w:bCs/>
                <w:sz w:val="28"/>
                <w:szCs w:val="28"/>
              </w:rPr>
              <w:t xml:space="preserve"> (x 106 /µL)</w:t>
            </w:r>
          </w:p>
        </w:tc>
        <w:tc>
          <w:tcPr>
            <w:tcW w:w="1588" w:type="dxa"/>
          </w:tcPr>
          <w:p w:rsidR="000E7A80" w:rsidRPr="000616C7" w:rsidRDefault="0071191B" w:rsidP="00F53728">
            <w:pPr>
              <w:pStyle w:val="Default"/>
              <w:spacing w:line="360" w:lineRule="auto"/>
              <w:jc w:val="lowKashida"/>
              <w:rPr>
                <w:b/>
                <w:bCs/>
                <w:noProof/>
                <w:sz w:val="28"/>
                <w:szCs w:val="28"/>
              </w:rPr>
            </w:pPr>
            <w:r w:rsidRPr="000616C7">
              <w:rPr>
                <w:b/>
                <w:bCs/>
                <w:sz w:val="28"/>
                <w:szCs w:val="28"/>
              </w:rPr>
              <w:t>Hemoglobin (g/</w:t>
            </w:r>
            <w:proofErr w:type="spellStart"/>
            <w:r w:rsidRPr="000616C7">
              <w:rPr>
                <w:b/>
                <w:bCs/>
                <w:sz w:val="28"/>
                <w:szCs w:val="28"/>
              </w:rPr>
              <w:t>dL</w:t>
            </w:r>
            <w:proofErr w:type="spellEnd"/>
            <w:r w:rsidRPr="000616C7">
              <w:rPr>
                <w:b/>
                <w:bCs/>
                <w:sz w:val="28"/>
                <w:szCs w:val="28"/>
              </w:rPr>
              <w:t>)</w:t>
            </w:r>
          </w:p>
        </w:tc>
        <w:tc>
          <w:tcPr>
            <w:tcW w:w="1585" w:type="dxa"/>
          </w:tcPr>
          <w:p w:rsidR="000E7A80" w:rsidRPr="000616C7" w:rsidRDefault="0071191B" w:rsidP="00F53728">
            <w:pPr>
              <w:pStyle w:val="Default"/>
              <w:spacing w:line="360" w:lineRule="auto"/>
              <w:jc w:val="lowKashida"/>
              <w:rPr>
                <w:b/>
                <w:bCs/>
                <w:noProof/>
                <w:sz w:val="28"/>
                <w:szCs w:val="28"/>
              </w:rPr>
            </w:pPr>
            <w:r w:rsidRPr="000616C7">
              <w:rPr>
                <w:b/>
                <w:bCs/>
                <w:sz w:val="28"/>
                <w:szCs w:val="28"/>
              </w:rPr>
              <w:t>Hematocrit (%)</w:t>
            </w:r>
          </w:p>
        </w:tc>
        <w:tc>
          <w:tcPr>
            <w:tcW w:w="1097" w:type="dxa"/>
          </w:tcPr>
          <w:p w:rsidR="000E7A80" w:rsidRPr="000616C7" w:rsidRDefault="0071191B" w:rsidP="00F53728">
            <w:pPr>
              <w:pStyle w:val="Default"/>
              <w:spacing w:line="360" w:lineRule="auto"/>
              <w:jc w:val="lowKashida"/>
              <w:rPr>
                <w:b/>
                <w:bCs/>
                <w:noProof/>
                <w:sz w:val="28"/>
                <w:szCs w:val="28"/>
              </w:rPr>
            </w:pPr>
            <w:r w:rsidRPr="000616C7">
              <w:rPr>
                <w:b/>
                <w:bCs/>
                <w:sz w:val="28"/>
                <w:szCs w:val="28"/>
              </w:rPr>
              <w:t>MCV (</w:t>
            </w:r>
            <w:proofErr w:type="spellStart"/>
            <w:r w:rsidRPr="000616C7">
              <w:rPr>
                <w:b/>
                <w:bCs/>
                <w:sz w:val="28"/>
                <w:szCs w:val="28"/>
              </w:rPr>
              <w:t>fL</w:t>
            </w:r>
            <w:proofErr w:type="spellEnd"/>
            <w:r w:rsidRPr="000616C7">
              <w:rPr>
                <w:b/>
                <w:bCs/>
                <w:sz w:val="28"/>
                <w:szCs w:val="28"/>
              </w:rPr>
              <w:t>)</w:t>
            </w:r>
          </w:p>
        </w:tc>
        <w:tc>
          <w:tcPr>
            <w:tcW w:w="1542" w:type="dxa"/>
          </w:tcPr>
          <w:p w:rsidR="000E7A80" w:rsidRPr="000616C7" w:rsidRDefault="0071191B" w:rsidP="00F53728">
            <w:pPr>
              <w:pStyle w:val="Default"/>
              <w:spacing w:line="360" w:lineRule="auto"/>
              <w:jc w:val="lowKashida"/>
              <w:rPr>
                <w:b/>
                <w:bCs/>
                <w:noProof/>
                <w:sz w:val="28"/>
                <w:szCs w:val="28"/>
              </w:rPr>
            </w:pPr>
            <w:r w:rsidRPr="000616C7">
              <w:rPr>
                <w:b/>
                <w:bCs/>
                <w:sz w:val="28"/>
                <w:szCs w:val="28"/>
              </w:rPr>
              <w:t>MCHC (%)</w:t>
            </w:r>
          </w:p>
        </w:tc>
        <w:tc>
          <w:tcPr>
            <w:tcW w:w="1701" w:type="dxa"/>
          </w:tcPr>
          <w:p w:rsidR="000E7A80" w:rsidRPr="000616C7" w:rsidRDefault="0071191B" w:rsidP="00F53728">
            <w:pPr>
              <w:pStyle w:val="Default"/>
              <w:spacing w:line="360" w:lineRule="auto"/>
              <w:jc w:val="lowKashida"/>
              <w:rPr>
                <w:b/>
                <w:bCs/>
                <w:noProof/>
                <w:sz w:val="28"/>
                <w:szCs w:val="28"/>
              </w:rPr>
            </w:pPr>
            <w:r w:rsidRPr="000616C7">
              <w:rPr>
                <w:b/>
                <w:bCs/>
                <w:sz w:val="28"/>
                <w:szCs w:val="28"/>
              </w:rPr>
              <w:t>Reticulocyte Count (%)</w:t>
            </w: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1-3 days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4.10-6.10</w:t>
            </w:r>
          </w:p>
        </w:tc>
        <w:tc>
          <w:tcPr>
            <w:tcW w:w="1588" w:type="dxa"/>
          </w:tcPr>
          <w:p w:rsidR="000E7A80" w:rsidRPr="000616C7" w:rsidRDefault="0071191B" w:rsidP="00F53728">
            <w:pPr>
              <w:pStyle w:val="Default"/>
              <w:spacing w:line="360" w:lineRule="auto"/>
              <w:jc w:val="lowKashida"/>
              <w:rPr>
                <w:noProof/>
                <w:sz w:val="28"/>
                <w:szCs w:val="28"/>
              </w:rPr>
            </w:pPr>
            <w:r w:rsidRPr="000616C7">
              <w:rPr>
                <w:sz w:val="28"/>
                <w:szCs w:val="28"/>
              </w:rPr>
              <w:t>14.0-24.0</w:t>
            </w:r>
          </w:p>
        </w:tc>
        <w:tc>
          <w:tcPr>
            <w:tcW w:w="1585" w:type="dxa"/>
          </w:tcPr>
          <w:p w:rsidR="000E7A80" w:rsidRPr="000616C7" w:rsidRDefault="0071191B" w:rsidP="00F53728">
            <w:pPr>
              <w:pStyle w:val="Default"/>
              <w:spacing w:line="360" w:lineRule="auto"/>
              <w:jc w:val="lowKashida"/>
              <w:rPr>
                <w:noProof/>
                <w:sz w:val="28"/>
                <w:szCs w:val="28"/>
              </w:rPr>
            </w:pPr>
            <w:r w:rsidRPr="000616C7">
              <w:rPr>
                <w:sz w:val="28"/>
                <w:szCs w:val="28"/>
              </w:rPr>
              <w:t>43-68</w:t>
            </w:r>
          </w:p>
        </w:tc>
        <w:tc>
          <w:tcPr>
            <w:tcW w:w="1097" w:type="dxa"/>
          </w:tcPr>
          <w:p w:rsidR="000E7A80" w:rsidRPr="000616C7" w:rsidRDefault="0071191B" w:rsidP="00F53728">
            <w:pPr>
              <w:pStyle w:val="Default"/>
              <w:spacing w:line="360" w:lineRule="auto"/>
              <w:jc w:val="lowKashida"/>
              <w:rPr>
                <w:noProof/>
                <w:sz w:val="28"/>
                <w:szCs w:val="28"/>
              </w:rPr>
            </w:pPr>
            <w:r w:rsidRPr="000616C7">
              <w:rPr>
                <w:sz w:val="28"/>
                <w:szCs w:val="28"/>
              </w:rPr>
              <w:t>95-125</w:t>
            </w:r>
          </w:p>
        </w:tc>
        <w:tc>
          <w:tcPr>
            <w:tcW w:w="1542" w:type="dxa"/>
          </w:tcPr>
          <w:p w:rsidR="000E7A80" w:rsidRPr="000616C7" w:rsidRDefault="0071191B" w:rsidP="00F53728">
            <w:pPr>
              <w:pStyle w:val="Default"/>
              <w:spacing w:line="360" w:lineRule="auto"/>
              <w:jc w:val="lowKashida"/>
              <w:rPr>
                <w:noProof/>
                <w:sz w:val="28"/>
                <w:szCs w:val="28"/>
              </w:rPr>
            </w:pPr>
            <w:r w:rsidRPr="000616C7">
              <w:rPr>
                <w:sz w:val="28"/>
                <w:szCs w:val="28"/>
              </w:rPr>
              <w:t>30-38</w:t>
            </w:r>
          </w:p>
        </w:tc>
        <w:tc>
          <w:tcPr>
            <w:tcW w:w="1701" w:type="dxa"/>
          </w:tcPr>
          <w:p w:rsidR="0071191B" w:rsidRPr="000616C7" w:rsidRDefault="0071191B" w:rsidP="00F53728">
            <w:pPr>
              <w:pStyle w:val="Default"/>
              <w:spacing w:line="360" w:lineRule="auto"/>
              <w:jc w:val="lowKashida"/>
              <w:rPr>
                <w:sz w:val="28"/>
                <w:szCs w:val="28"/>
              </w:rPr>
            </w:pPr>
            <w:r w:rsidRPr="000616C7">
              <w:rPr>
                <w:sz w:val="28"/>
                <w:szCs w:val="28"/>
              </w:rPr>
              <w:t xml:space="preserve">2 days: 2-5 </w:t>
            </w:r>
          </w:p>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14-60 days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3.80-5.60</w:t>
            </w:r>
          </w:p>
        </w:tc>
        <w:tc>
          <w:tcPr>
            <w:tcW w:w="1588" w:type="dxa"/>
          </w:tcPr>
          <w:p w:rsidR="000E7A80" w:rsidRPr="000616C7" w:rsidRDefault="0071191B" w:rsidP="00F53728">
            <w:pPr>
              <w:pStyle w:val="Default"/>
              <w:spacing w:line="360" w:lineRule="auto"/>
              <w:jc w:val="lowKashida"/>
              <w:rPr>
                <w:noProof/>
                <w:sz w:val="28"/>
                <w:szCs w:val="28"/>
              </w:rPr>
            </w:pPr>
            <w:r w:rsidRPr="000616C7">
              <w:rPr>
                <w:sz w:val="28"/>
                <w:szCs w:val="28"/>
              </w:rPr>
              <w:t>10.7-17.3</w:t>
            </w:r>
          </w:p>
        </w:tc>
        <w:tc>
          <w:tcPr>
            <w:tcW w:w="1585" w:type="dxa"/>
          </w:tcPr>
          <w:p w:rsidR="000E7A80" w:rsidRPr="000616C7" w:rsidRDefault="0071191B" w:rsidP="00F53728">
            <w:pPr>
              <w:pStyle w:val="Default"/>
              <w:spacing w:line="360" w:lineRule="auto"/>
              <w:jc w:val="lowKashida"/>
              <w:rPr>
                <w:noProof/>
                <w:sz w:val="28"/>
                <w:szCs w:val="28"/>
              </w:rPr>
            </w:pPr>
            <w:r w:rsidRPr="000616C7">
              <w:rPr>
                <w:sz w:val="28"/>
                <w:szCs w:val="28"/>
              </w:rPr>
              <w:t>33-51</w:t>
            </w:r>
          </w:p>
        </w:tc>
        <w:tc>
          <w:tcPr>
            <w:tcW w:w="1097" w:type="dxa"/>
          </w:tcPr>
          <w:p w:rsidR="000E7A80" w:rsidRPr="000616C7" w:rsidRDefault="0071191B" w:rsidP="00F53728">
            <w:pPr>
              <w:pStyle w:val="Default"/>
              <w:spacing w:line="360" w:lineRule="auto"/>
              <w:jc w:val="lowKashida"/>
              <w:rPr>
                <w:noProof/>
                <w:sz w:val="28"/>
                <w:szCs w:val="28"/>
              </w:rPr>
            </w:pPr>
            <w:r w:rsidRPr="000616C7">
              <w:rPr>
                <w:sz w:val="28"/>
                <w:szCs w:val="28"/>
              </w:rPr>
              <w:t>80-112</w:t>
            </w:r>
          </w:p>
        </w:tc>
        <w:tc>
          <w:tcPr>
            <w:tcW w:w="1542" w:type="dxa"/>
          </w:tcPr>
          <w:p w:rsidR="000E7A80" w:rsidRPr="000616C7" w:rsidRDefault="0071191B" w:rsidP="00F53728">
            <w:pPr>
              <w:pStyle w:val="Default"/>
              <w:spacing w:line="360" w:lineRule="auto"/>
              <w:jc w:val="lowKashida"/>
              <w:rPr>
                <w:noProof/>
                <w:sz w:val="28"/>
                <w:szCs w:val="28"/>
              </w:rPr>
            </w:pPr>
            <w:r w:rsidRPr="000616C7">
              <w:rPr>
                <w:sz w:val="28"/>
                <w:szCs w:val="28"/>
              </w:rPr>
              <w:t>30-35</w:t>
            </w:r>
          </w:p>
        </w:tc>
        <w:tc>
          <w:tcPr>
            <w:tcW w:w="1701" w:type="dxa"/>
          </w:tcPr>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6 months-1 year</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3.80-5.20</w:t>
            </w:r>
          </w:p>
        </w:tc>
        <w:tc>
          <w:tcPr>
            <w:tcW w:w="1588" w:type="dxa"/>
          </w:tcPr>
          <w:p w:rsidR="000E7A80" w:rsidRPr="000616C7" w:rsidRDefault="0071191B" w:rsidP="000616C7">
            <w:pPr>
              <w:pStyle w:val="Default"/>
              <w:spacing w:line="360" w:lineRule="auto"/>
              <w:jc w:val="center"/>
              <w:rPr>
                <w:noProof/>
                <w:sz w:val="28"/>
                <w:szCs w:val="28"/>
              </w:rPr>
            </w:pPr>
            <w:r w:rsidRPr="000616C7">
              <w:rPr>
                <w:sz w:val="28"/>
                <w:szCs w:val="28"/>
              </w:rPr>
              <w:t>10.0-13.2</w:t>
            </w:r>
          </w:p>
        </w:tc>
        <w:tc>
          <w:tcPr>
            <w:tcW w:w="1585" w:type="dxa"/>
          </w:tcPr>
          <w:p w:rsidR="000E7A80" w:rsidRPr="000616C7" w:rsidRDefault="0071191B" w:rsidP="000616C7">
            <w:pPr>
              <w:pStyle w:val="Default"/>
              <w:spacing w:line="360" w:lineRule="auto"/>
              <w:jc w:val="center"/>
              <w:rPr>
                <w:noProof/>
                <w:sz w:val="28"/>
                <w:szCs w:val="28"/>
              </w:rPr>
            </w:pPr>
            <w:r w:rsidRPr="000616C7">
              <w:rPr>
                <w:sz w:val="28"/>
                <w:szCs w:val="28"/>
              </w:rPr>
              <w:t>30-39</w:t>
            </w:r>
          </w:p>
        </w:tc>
        <w:tc>
          <w:tcPr>
            <w:tcW w:w="1097" w:type="dxa"/>
          </w:tcPr>
          <w:p w:rsidR="000E7A80" w:rsidRPr="000616C7" w:rsidRDefault="0071191B" w:rsidP="000616C7">
            <w:pPr>
              <w:pStyle w:val="Default"/>
              <w:spacing w:line="360" w:lineRule="auto"/>
              <w:jc w:val="center"/>
              <w:rPr>
                <w:noProof/>
                <w:sz w:val="28"/>
                <w:szCs w:val="28"/>
              </w:rPr>
            </w:pPr>
            <w:r w:rsidRPr="000616C7">
              <w:rPr>
                <w:sz w:val="28"/>
                <w:szCs w:val="28"/>
              </w:rPr>
              <w:t>70-90</w:t>
            </w:r>
          </w:p>
        </w:tc>
        <w:tc>
          <w:tcPr>
            <w:tcW w:w="1542" w:type="dxa"/>
          </w:tcPr>
          <w:p w:rsidR="000E7A80" w:rsidRPr="000616C7" w:rsidRDefault="0071191B" w:rsidP="00F53728">
            <w:pPr>
              <w:pStyle w:val="Default"/>
              <w:spacing w:line="360" w:lineRule="auto"/>
              <w:jc w:val="lowKashida"/>
              <w:rPr>
                <w:noProof/>
                <w:sz w:val="28"/>
                <w:szCs w:val="28"/>
              </w:rPr>
            </w:pPr>
            <w:r w:rsidRPr="000616C7">
              <w:rPr>
                <w:sz w:val="28"/>
                <w:szCs w:val="28"/>
              </w:rPr>
              <w:t>32-36</w:t>
            </w:r>
          </w:p>
        </w:tc>
        <w:tc>
          <w:tcPr>
            <w:tcW w:w="1701" w:type="dxa"/>
          </w:tcPr>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1-2 years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3.80-5.20</w:t>
            </w:r>
          </w:p>
        </w:tc>
        <w:tc>
          <w:tcPr>
            <w:tcW w:w="1588" w:type="dxa"/>
          </w:tcPr>
          <w:p w:rsidR="000E7A80" w:rsidRPr="000616C7" w:rsidRDefault="0071191B" w:rsidP="000616C7">
            <w:pPr>
              <w:pStyle w:val="Default"/>
              <w:spacing w:line="360" w:lineRule="auto"/>
              <w:jc w:val="center"/>
              <w:rPr>
                <w:noProof/>
                <w:sz w:val="28"/>
                <w:szCs w:val="28"/>
              </w:rPr>
            </w:pPr>
            <w:r w:rsidRPr="000616C7">
              <w:rPr>
                <w:sz w:val="28"/>
                <w:szCs w:val="28"/>
              </w:rPr>
              <w:t>10.0-13.5</w:t>
            </w:r>
          </w:p>
        </w:tc>
        <w:tc>
          <w:tcPr>
            <w:tcW w:w="1585" w:type="dxa"/>
          </w:tcPr>
          <w:p w:rsidR="000E7A80" w:rsidRPr="000616C7" w:rsidRDefault="0071191B" w:rsidP="000616C7">
            <w:pPr>
              <w:pStyle w:val="Default"/>
              <w:spacing w:line="360" w:lineRule="auto"/>
              <w:jc w:val="center"/>
              <w:rPr>
                <w:noProof/>
                <w:sz w:val="28"/>
                <w:szCs w:val="28"/>
              </w:rPr>
            </w:pPr>
            <w:r w:rsidRPr="000616C7">
              <w:rPr>
                <w:sz w:val="28"/>
                <w:szCs w:val="28"/>
              </w:rPr>
              <w:t>30-40</w:t>
            </w:r>
          </w:p>
        </w:tc>
        <w:tc>
          <w:tcPr>
            <w:tcW w:w="1097" w:type="dxa"/>
          </w:tcPr>
          <w:p w:rsidR="000E7A80" w:rsidRPr="000616C7" w:rsidRDefault="00CA5299" w:rsidP="000616C7">
            <w:pPr>
              <w:pStyle w:val="Default"/>
              <w:spacing w:line="360" w:lineRule="auto"/>
              <w:jc w:val="center"/>
              <w:rPr>
                <w:noProof/>
                <w:sz w:val="28"/>
                <w:szCs w:val="28"/>
              </w:rPr>
            </w:pPr>
            <w:r w:rsidRPr="000616C7">
              <w:rPr>
                <w:sz w:val="28"/>
                <w:szCs w:val="28"/>
              </w:rPr>
              <w:t>70-90</w:t>
            </w:r>
          </w:p>
        </w:tc>
        <w:tc>
          <w:tcPr>
            <w:tcW w:w="1542" w:type="dxa"/>
          </w:tcPr>
          <w:p w:rsidR="000E7A80" w:rsidRPr="000616C7" w:rsidRDefault="00CA5299" w:rsidP="00F53728">
            <w:pPr>
              <w:pStyle w:val="Default"/>
              <w:spacing w:line="360" w:lineRule="auto"/>
              <w:jc w:val="lowKashida"/>
              <w:rPr>
                <w:noProof/>
                <w:sz w:val="28"/>
                <w:szCs w:val="28"/>
              </w:rPr>
            </w:pPr>
            <w:r w:rsidRPr="000616C7">
              <w:rPr>
                <w:sz w:val="28"/>
                <w:szCs w:val="28"/>
              </w:rPr>
              <w:t>30-35</w:t>
            </w:r>
          </w:p>
        </w:tc>
        <w:tc>
          <w:tcPr>
            <w:tcW w:w="1701" w:type="dxa"/>
          </w:tcPr>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2-4 years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3.80-5.20</w:t>
            </w:r>
          </w:p>
        </w:tc>
        <w:tc>
          <w:tcPr>
            <w:tcW w:w="1588" w:type="dxa"/>
          </w:tcPr>
          <w:p w:rsidR="000E7A80" w:rsidRPr="000616C7" w:rsidRDefault="0071191B" w:rsidP="000616C7">
            <w:pPr>
              <w:pStyle w:val="Default"/>
              <w:spacing w:line="360" w:lineRule="auto"/>
              <w:jc w:val="center"/>
              <w:rPr>
                <w:noProof/>
                <w:sz w:val="28"/>
                <w:szCs w:val="28"/>
              </w:rPr>
            </w:pPr>
            <w:r w:rsidRPr="000616C7">
              <w:rPr>
                <w:sz w:val="28"/>
                <w:szCs w:val="28"/>
              </w:rPr>
              <w:t>10.5-14.5</w:t>
            </w:r>
          </w:p>
        </w:tc>
        <w:tc>
          <w:tcPr>
            <w:tcW w:w="1585" w:type="dxa"/>
          </w:tcPr>
          <w:p w:rsidR="000E7A80" w:rsidRPr="000616C7" w:rsidRDefault="0071191B" w:rsidP="000616C7">
            <w:pPr>
              <w:pStyle w:val="Default"/>
              <w:spacing w:line="360" w:lineRule="auto"/>
              <w:jc w:val="center"/>
              <w:rPr>
                <w:noProof/>
                <w:sz w:val="28"/>
                <w:szCs w:val="28"/>
              </w:rPr>
            </w:pPr>
            <w:r w:rsidRPr="000616C7">
              <w:rPr>
                <w:sz w:val="28"/>
                <w:szCs w:val="28"/>
              </w:rPr>
              <w:t>32-42</w:t>
            </w:r>
          </w:p>
        </w:tc>
        <w:tc>
          <w:tcPr>
            <w:tcW w:w="1097" w:type="dxa"/>
          </w:tcPr>
          <w:p w:rsidR="000E7A80" w:rsidRPr="000616C7" w:rsidRDefault="00CA5299" w:rsidP="000616C7">
            <w:pPr>
              <w:pStyle w:val="Default"/>
              <w:spacing w:line="360" w:lineRule="auto"/>
              <w:jc w:val="center"/>
              <w:rPr>
                <w:noProof/>
                <w:sz w:val="28"/>
                <w:szCs w:val="28"/>
              </w:rPr>
            </w:pPr>
            <w:r w:rsidRPr="000616C7">
              <w:rPr>
                <w:sz w:val="28"/>
                <w:szCs w:val="28"/>
              </w:rPr>
              <w:t>74-94</w:t>
            </w:r>
          </w:p>
        </w:tc>
        <w:tc>
          <w:tcPr>
            <w:tcW w:w="1542" w:type="dxa"/>
          </w:tcPr>
          <w:p w:rsidR="000E7A80" w:rsidRPr="000616C7" w:rsidRDefault="00CA5299" w:rsidP="00F53728">
            <w:pPr>
              <w:pStyle w:val="Default"/>
              <w:spacing w:line="360" w:lineRule="auto"/>
              <w:jc w:val="lowKashida"/>
              <w:rPr>
                <w:noProof/>
                <w:sz w:val="28"/>
                <w:szCs w:val="28"/>
              </w:rPr>
            </w:pPr>
            <w:r w:rsidRPr="000616C7">
              <w:rPr>
                <w:sz w:val="28"/>
                <w:szCs w:val="28"/>
              </w:rPr>
              <w:t>32-36</w:t>
            </w:r>
          </w:p>
        </w:tc>
        <w:tc>
          <w:tcPr>
            <w:tcW w:w="1701" w:type="dxa"/>
          </w:tcPr>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5-7 years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3.80-5.20</w:t>
            </w:r>
          </w:p>
        </w:tc>
        <w:tc>
          <w:tcPr>
            <w:tcW w:w="1588" w:type="dxa"/>
          </w:tcPr>
          <w:p w:rsidR="000E7A80" w:rsidRPr="000616C7" w:rsidRDefault="0071191B" w:rsidP="000616C7">
            <w:pPr>
              <w:pStyle w:val="Default"/>
              <w:spacing w:line="360" w:lineRule="auto"/>
              <w:jc w:val="center"/>
              <w:rPr>
                <w:noProof/>
                <w:sz w:val="28"/>
                <w:szCs w:val="28"/>
              </w:rPr>
            </w:pPr>
            <w:r w:rsidRPr="000616C7">
              <w:rPr>
                <w:sz w:val="28"/>
                <w:szCs w:val="28"/>
              </w:rPr>
              <w:t>10.9-14.9</w:t>
            </w:r>
          </w:p>
        </w:tc>
        <w:tc>
          <w:tcPr>
            <w:tcW w:w="1585" w:type="dxa"/>
          </w:tcPr>
          <w:p w:rsidR="000E7A80" w:rsidRPr="000616C7" w:rsidRDefault="0071191B" w:rsidP="000616C7">
            <w:pPr>
              <w:pStyle w:val="Default"/>
              <w:spacing w:line="360" w:lineRule="auto"/>
              <w:jc w:val="center"/>
              <w:rPr>
                <w:noProof/>
                <w:sz w:val="28"/>
                <w:szCs w:val="28"/>
              </w:rPr>
            </w:pPr>
            <w:r w:rsidRPr="000616C7">
              <w:rPr>
                <w:sz w:val="28"/>
                <w:szCs w:val="28"/>
              </w:rPr>
              <w:t>33-44</w:t>
            </w:r>
          </w:p>
        </w:tc>
        <w:tc>
          <w:tcPr>
            <w:tcW w:w="1097" w:type="dxa"/>
          </w:tcPr>
          <w:p w:rsidR="000E7A80" w:rsidRPr="000616C7" w:rsidRDefault="00CA5299" w:rsidP="000616C7">
            <w:pPr>
              <w:pStyle w:val="Default"/>
              <w:spacing w:line="360" w:lineRule="auto"/>
              <w:jc w:val="center"/>
              <w:rPr>
                <w:noProof/>
                <w:sz w:val="28"/>
                <w:szCs w:val="28"/>
              </w:rPr>
            </w:pPr>
            <w:r w:rsidRPr="000616C7">
              <w:rPr>
                <w:sz w:val="28"/>
                <w:szCs w:val="28"/>
              </w:rPr>
              <w:t>76-96</w:t>
            </w:r>
          </w:p>
        </w:tc>
        <w:tc>
          <w:tcPr>
            <w:tcW w:w="1542" w:type="dxa"/>
          </w:tcPr>
          <w:p w:rsidR="000E7A80" w:rsidRPr="000616C7" w:rsidRDefault="00CA5299" w:rsidP="00F53728">
            <w:pPr>
              <w:pStyle w:val="Default"/>
              <w:spacing w:line="360" w:lineRule="auto"/>
              <w:jc w:val="lowKashida"/>
              <w:rPr>
                <w:noProof/>
                <w:sz w:val="28"/>
                <w:szCs w:val="28"/>
              </w:rPr>
            </w:pPr>
            <w:r w:rsidRPr="000616C7">
              <w:rPr>
                <w:sz w:val="28"/>
                <w:szCs w:val="28"/>
              </w:rPr>
              <w:t>32-36</w:t>
            </w:r>
          </w:p>
        </w:tc>
        <w:tc>
          <w:tcPr>
            <w:tcW w:w="1701" w:type="dxa"/>
          </w:tcPr>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8-10 years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3.80-5.20</w:t>
            </w:r>
          </w:p>
        </w:tc>
        <w:tc>
          <w:tcPr>
            <w:tcW w:w="1588" w:type="dxa"/>
          </w:tcPr>
          <w:p w:rsidR="000E7A80" w:rsidRPr="000616C7" w:rsidRDefault="0071191B" w:rsidP="000616C7">
            <w:pPr>
              <w:pStyle w:val="Default"/>
              <w:spacing w:line="360" w:lineRule="auto"/>
              <w:jc w:val="center"/>
              <w:rPr>
                <w:noProof/>
                <w:sz w:val="28"/>
                <w:szCs w:val="28"/>
              </w:rPr>
            </w:pPr>
            <w:r w:rsidRPr="000616C7">
              <w:rPr>
                <w:sz w:val="28"/>
                <w:szCs w:val="28"/>
              </w:rPr>
              <w:t>10.9-14.9</w:t>
            </w:r>
          </w:p>
        </w:tc>
        <w:tc>
          <w:tcPr>
            <w:tcW w:w="1585" w:type="dxa"/>
          </w:tcPr>
          <w:p w:rsidR="000E7A80" w:rsidRPr="000616C7" w:rsidRDefault="0071191B" w:rsidP="000616C7">
            <w:pPr>
              <w:pStyle w:val="Default"/>
              <w:spacing w:line="360" w:lineRule="auto"/>
              <w:jc w:val="center"/>
              <w:rPr>
                <w:noProof/>
                <w:sz w:val="28"/>
                <w:szCs w:val="28"/>
              </w:rPr>
            </w:pPr>
            <w:r w:rsidRPr="000616C7">
              <w:rPr>
                <w:sz w:val="28"/>
                <w:szCs w:val="28"/>
              </w:rPr>
              <w:t>33-44</w:t>
            </w:r>
          </w:p>
        </w:tc>
        <w:tc>
          <w:tcPr>
            <w:tcW w:w="1097" w:type="dxa"/>
          </w:tcPr>
          <w:p w:rsidR="000E7A80" w:rsidRPr="000616C7" w:rsidRDefault="00CA5299" w:rsidP="000616C7">
            <w:pPr>
              <w:pStyle w:val="Default"/>
              <w:spacing w:line="360" w:lineRule="auto"/>
              <w:jc w:val="center"/>
              <w:rPr>
                <w:noProof/>
                <w:sz w:val="28"/>
                <w:szCs w:val="28"/>
              </w:rPr>
            </w:pPr>
            <w:r w:rsidRPr="000616C7">
              <w:rPr>
                <w:sz w:val="28"/>
                <w:szCs w:val="28"/>
              </w:rPr>
              <w:t>78-98</w:t>
            </w:r>
          </w:p>
        </w:tc>
        <w:tc>
          <w:tcPr>
            <w:tcW w:w="1542" w:type="dxa"/>
          </w:tcPr>
          <w:p w:rsidR="000E7A80" w:rsidRPr="000616C7" w:rsidRDefault="00CA5299" w:rsidP="00F53728">
            <w:pPr>
              <w:pStyle w:val="Default"/>
              <w:spacing w:line="360" w:lineRule="auto"/>
              <w:jc w:val="lowKashida"/>
              <w:rPr>
                <w:noProof/>
                <w:sz w:val="28"/>
                <w:szCs w:val="28"/>
              </w:rPr>
            </w:pPr>
            <w:r w:rsidRPr="000616C7">
              <w:rPr>
                <w:sz w:val="28"/>
                <w:szCs w:val="28"/>
              </w:rPr>
              <w:t>32-36</w:t>
            </w:r>
          </w:p>
        </w:tc>
        <w:tc>
          <w:tcPr>
            <w:tcW w:w="1701" w:type="dxa"/>
          </w:tcPr>
          <w:p w:rsidR="000E7A80" w:rsidRPr="000616C7" w:rsidRDefault="000E7A80" w:rsidP="00F53728">
            <w:pPr>
              <w:pStyle w:val="Default"/>
              <w:spacing w:line="360" w:lineRule="auto"/>
              <w:jc w:val="lowKashida"/>
              <w:rPr>
                <w:noProof/>
                <w:sz w:val="28"/>
                <w:szCs w:val="28"/>
              </w:rPr>
            </w:pPr>
          </w:p>
        </w:tc>
      </w:tr>
      <w:tr w:rsidR="000616C7" w:rsidTr="00E64B90">
        <w:tc>
          <w:tcPr>
            <w:tcW w:w="1781" w:type="dxa"/>
          </w:tcPr>
          <w:p w:rsidR="000E7A80" w:rsidRPr="000616C7" w:rsidRDefault="000E7A80" w:rsidP="00F53728">
            <w:pPr>
              <w:pStyle w:val="Default"/>
              <w:spacing w:line="360" w:lineRule="auto"/>
              <w:jc w:val="lowKashida"/>
              <w:rPr>
                <w:b/>
                <w:bCs/>
                <w:noProof/>
                <w:sz w:val="28"/>
                <w:szCs w:val="28"/>
              </w:rPr>
            </w:pPr>
            <w:r w:rsidRPr="000616C7">
              <w:rPr>
                <w:b/>
                <w:bCs/>
                <w:sz w:val="28"/>
                <w:szCs w:val="28"/>
              </w:rPr>
              <w:t>10-15 years</w:t>
            </w:r>
          </w:p>
        </w:tc>
        <w:tc>
          <w:tcPr>
            <w:tcW w:w="1197" w:type="dxa"/>
          </w:tcPr>
          <w:p w:rsidR="000E7A80" w:rsidRPr="000616C7" w:rsidRDefault="0071191B" w:rsidP="00F53728">
            <w:pPr>
              <w:pStyle w:val="Default"/>
              <w:spacing w:line="360" w:lineRule="auto"/>
              <w:jc w:val="lowKashida"/>
              <w:rPr>
                <w:noProof/>
                <w:sz w:val="28"/>
                <w:szCs w:val="28"/>
              </w:rPr>
            </w:pPr>
            <w:r w:rsidRPr="000616C7">
              <w:rPr>
                <w:sz w:val="28"/>
                <w:szCs w:val="28"/>
              </w:rPr>
              <w:t>3.80-5.20</w:t>
            </w:r>
          </w:p>
        </w:tc>
        <w:tc>
          <w:tcPr>
            <w:tcW w:w="1588" w:type="dxa"/>
          </w:tcPr>
          <w:p w:rsidR="000E7A80" w:rsidRPr="000616C7" w:rsidRDefault="0071191B" w:rsidP="000616C7">
            <w:pPr>
              <w:pStyle w:val="Default"/>
              <w:spacing w:line="360" w:lineRule="auto"/>
              <w:jc w:val="center"/>
              <w:rPr>
                <w:noProof/>
                <w:sz w:val="28"/>
                <w:szCs w:val="28"/>
              </w:rPr>
            </w:pPr>
            <w:r w:rsidRPr="000616C7">
              <w:rPr>
                <w:sz w:val="28"/>
                <w:szCs w:val="28"/>
              </w:rPr>
              <w:t>11.4-15.4</w:t>
            </w:r>
          </w:p>
        </w:tc>
        <w:tc>
          <w:tcPr>
            <w:tcW w:w="1585" w:type="dxa"/>
          </w:tcPr>
          <w:p w:rsidR="000E7A80" w:rsidRPr="000616C7" w:rsidRDefault="0071191B" w:rsidP="000616C7">
            <w:pPr>
              <w:pStyle w:val="Default"/>
              <w:spacing w:line="360" w:lineRule="auto"/>
              <w:jc w:val="center"/>
              <w:rPr>
                <w:noProof/>
                <w:sz w:val="28"/>
                <w:szCs w:val="28"/>
              </w:rPr>
            </w:pPr>
            <w:r w:rsidRPr="000616C7">
              <w:rPr>
                <w:noProof/>
                <w:sz w:val="28"/>
                <w:szCs w:val="28"/>
              </w:rPr>
              <w:t>34-45</w:t>
            </w:r>
          </w:p>
        </w:tc>
        <w:tc>
          <w:tcPr>
            <w:tcW w:w="1097" w:type="dxa"/>
          </w:tcPr>
          <w:p w:rsidR="000E7A80" w:rsidRPr="000616C7" w:rsidRDefault="00CA5299" w:rsidP="000616C7">
            <w:pPr>
              <w:pStyle w:val="Default"/>
              <w:spacing w:line="360" w:lineRule="auto"/>
              <w:jc w:val="center"/>
              <w:rPr>
                <w:noProof/>
                <w:sz w:val="28"/>
                <w:szCs w:val="28"/>
              </w:rPr>
            </w:pPr>
            <w:r w:rsidRPr="000616C7">
              <w:rPr>
                <w:sz w:val="28"/>
                <w:szCs w:val="28"/>
              </w:rPr>
              <w:t>78-98</w:t>
            </w:r>
          </w:p>
        </w:tc>
        <w:tc>
          <w:tcPr>
            <w:tcW w:w="1542" w:type="dxa"/>
          </w:tcPr>
          <w:p w:rsidR="000E7A80" w:rsidRPr="000616C7" w:rsidRDefault="00CA5299" w:rsidP="00F53728">
            <w:pPr>
              <w:pStyle w:val="Default"/>
              <w:spacing w:line="360" w:lineRule="auto"/>
              <w:jc w:val="lowKashida"/>
              <w:rPr>
                <w:noProof/>
                <w:sz w:val="28"/>
                <w:szCs w:val="28"/>
              </w:rPr>
            </w:pPr>
            <w:r w:rsidRPr="000616C7">
              <w:rPr>
                <w:sz w:val="28"/>
                <w:szCs w:val="28"/>
              </w:rPr>
              <w:t>32-36</w:t>
            </w:r>
          </w:p>
        </w:tc>
        <w:tc>
          <w:tcPr>
            <w:tcW w:w="1701" w:type="dxa"/>
          </w:tcPr>
          <w:p w:rsidR="000E7A80" w:rsidRPr="000616C7" w:rsidRDefault="000E7A80" w:rsidP="00F53728">
            <w:pPr>
              <w:pStyle w:val="Default"/>
              <w:spacing w:line="360" w:lineRule="auto"/>
              <w:jc w:val="lowKashida"/>
              <w:rPr>
                <w:noProof/>
                <w:sz w:val="28"/>
                <w:szCs w:val="28"/>
              </w:rPr>
            </w:pPr>
          </w:p>
        </w:tc>
      </w:tr>
    </w:tbl>
    <w:p w:rsidR="00CA5299" w:rsidRDefault="00CA5299" w:rsidP="00CA5299">
      <w:pPr>
        <w:pStyle w:val="Default"/>
        <w:spacing w:line="360" w:lineRule="auto"/>
        <w:jc w:val="lowKashida"/>
        <w:rPr>
          <w:noProof/>
        </w:rPr>
      </w:pPr>
    </w:p>
    <w:p w:rsidR="00CA5299" w:rsidRPr="00697EFE" w:rsidRDefault="00CA5299" w:rsidP="00697EFE">
      <w:pPr>
        <w:pStyle w:val="Default"/>
        <w:spacing w:line="360" w:lineRule="auto"/>
        <w:jc w:val="lowKashida"/>
        <w:rPr>
          <w:rFonts w:asciiTheme="majorBidi" w:hAnsiTheme="majorBidi" w:cstheme="majorBidi"/>
          <w:sz w:val="28"/>
          <w:szCs w:val="28"/>
        </w:rPr>
      </w:pPr>
      <w:r>
        <w:rPr>
          <w:rFonts w:asciiTheme="majorBidi" w:hAnsiTheme="majorBidi" w:cstheme="majorBidi"/>
          <w:b/>
          <w:bCs/>
          <w:sz w:val="28"/>
          <w:szCs w:val="28"/>
        </w:rPr>
        <w:t>Table</w:t>
      </w:r>
      <w:r w:rsidRPr="001B7608">
        <w:rPr>
          <w:rFonts w:asciiTheme="majorBidi" w:hAnsiTheme="majorBidi" w:cstheme="majorBidi"/>
          <w:b/>
          <w:bCs/>
          <w:sz w:val="28"/>
          <w:szCs w:val="28"/>
        </w:rPr>
        <w:t xml:space="preserve"> (</w:t>
      </w:r>
      <w:r>
        <w:rPr>
          <w:rFonts w:asciiTheme="majorBidi" w:hAnsiTheme="majorBidi" w:cstheme="majorBidi"/>
          <w:b/>
          <w:bCs/>
          <w:sz w:val="28"/>
          <w:szCs w:val="28"/>
        </w:rPr>
        <w:t>4</w:t>
      </w:r>
      <w:r w:rsidRPr="001B7608">
        <w:rPr>
          <w:rFonts w:asciiTheme="majorBidi" w:hAnsiTheme="majorBidi" w:cstheme="majorBidi"/>
          <w:b/>
          <w:bCs/>
          <w:sz w:val="28"/>
          <w:szCs w:val="28"/>
        </w:rPr>
        <w:t>)</w:t>
      </w:r>
      <w:r>
        <w:rPr>
          <w:rFonts w:asciiTheme="majorBidi" w:hAnsiTheme="majorBidi" w:cstheme="majorBidi"/>
          <w:sz w:val="28"/>
          <w:szCs w:val="28"/>
        </w:rPr>
        <w:t xml:space="preserve">: </w:t>
      </w:r>
      <w:r w:rsidRPr="00697EFE">
        <w:rPr>
          <w:rFonts w:asciiTheme="majorBidi" w:hAnsiTheme="majorBidi" w:cstheme="majorBidi"/>
          <w:sz w:val="28"/>
          <w:szCs w:val="28"/>
        </w:rPr>
        <w:t xml:space="preserve">Differential white blood cell </w:t>
      </w:r>
      <w:proofErr w:type="gramStart"/>
      <w:r w:rsidRPr="00697EFE">
        <w:rPr>
          <w:rFonts w:asciiTheme="majorBidi" w:hAnsiTheme="majorBidi" w:cstheme="majorBidi"/>
          <w:sz w:val="28"/>
          <w:szCs w:val="28"/>
        </w:rPr>
        <w:t>count ,</w:t>
      </w:r>
      <w:proofErr w:type="gramEnd"/>
      <w:r w:rsidRPr="00697EFE">
        <w:rPr>
          <w:rFonts w:asciiTheme="majorBidi" w:hAnsiTheme="majorBidi" w:cstheme="majorBidi"/>
          <w:sz w:val="28"/>
          <w:szCs w:val="28"/>
        </w:rPr>
        <w:t xml:space="preserve"> normal pediatric values</w:t>
      </w:r>
      <w:r w:rsidR="00697EFE">
        <w:rPr>
          <w:rFonts w:asciiTheme="majorBidi" w:hAnsiTheme="majorBidi" w:cstheme="majorBidi"/>
          <w:sz w:val="28"/>
          <w:szCs w:val="28"/>
        </w:rPr>
        <w:t xml:space="preserve"> </w:t>
      </w:r>
      <w:r w:rsidRPr="000E7A80">
        <w:rPr>
          <w:rFonts w:asciiTheme="majorBidi" w:hAnsiTheme="majorBidi" w:cstheme="majorBidi"/>
          <w:b/>
          <w:bCs/>
          <w:i/>
          <w:iCs/>
          <w:sz w:val="28"/>
          <w:szCs w:val="28"/>
        </w:rPr>
        <w:t>(</w:t>
      </w:r>
      <w:proofErr w:type="spellStart"/>
      <w:r w:rsidRPr="000E7A80">
        <w:rPr>
          <w:b/>
          <w:bCs/>
          <w:i/>
          <w:iCs/>
          <w:sz w:val="28"/>
          <w:szCs w:val="28"/>
        </w:rPr>
        <w:t>Jakubik</w:t>
      </w:r>
      <w:proofErr w:type="spellEnd"/>
      <w:r w:rsidRPr="000E7A80">
        <w:rPr>
          <w:b/>
          <w:bCs/>
          <w:i/>
          <w:iCs/>
          <w:sz w:val="28"/>
          <w:szCs w:val="28"/>
        </w:rPr>
        <w:t xml:space="preserve"> et al., 2003</w:t>
      </w:r>
      <w:r w:rsidRPr="000E7A80">
        <w:rPr>
          <w:rFonts w:asciiTheme="majorBidi" w:hAnsiTheme="majorBidi" w:cstheme="majorBidi"/>
          <w:b/>
          <w:bCs/>
          <w:i/>
          <w:iCs/>
          <w:sz w:val="28"/>
          <w:szCs w:val="28"/>
        </w:rPr>
        <w:t>).</w:t>
      </w:r>
    </w:p>
    <w:tbl>
      <w:tblPr>
        <w:tblStyle w:val="TableGrid"/>
        <w:tblW w:w="10491" w:type="dxa"/>
        <w:tblInd w:w="-885" w:type="dxa"/>
        <w:tblLook w:val="04A0" w:firstRow="1" w:lastRow="0" w:firstColumn="1" w:lastColumn="0" w:noHBand="0" w:noVBand="1"/>
      </w:tblPr>
      <w:tblGrid>
        <w:gridCol w:w="1844"/>
        <w:gridCol w:w="1417"/>
        <w:gridCol w:w="1314"/>
        <w:gridCol w:w="1389"/>
        <w:gridCol w:w="1157"/>
        <w:gridCol w:w="1385"/>
        <w:gridCol w:w="1985"/>
      </w:tblGrid>
      <w:tr w:rsidR="00B335CC" w:rsidRPr="00B335CC" w:rsidTr="005F2171">
        <w:trPr>
          <w:trHeight w:val="1305"/>
        </w:trPr>
        <w:tc>
          <w:tcPr>
            <w:tcW w:w="1844" w:type="dxa"/>
          </w:tcPr>
          <w:p w:rsidR="00B335CC" w:rsidRPr="003F6020" w:rsidRDefault="00B335CC" w:rsidP="007301F2">
            <w:pPr>
              <w:pStyle w:val="Default"/>
              <w:spacing w:line="360" w:lineRule="auto"/>
              <w:jc w:val="lowKashida"/>
              <w:rPr>
                <w:b/>
                <w:bCs/>
                <w:noProof/>
                <w:sz w:val="28"/>
                <w:szCs w:val="28"/>
              </w:rPr>
            </w:pPr>
            <w:r w:rsidRPr="003F6020">
              <w:rPr>
                <w:b/>
                <w:bCs/>
                <w:sz w:val="28"/>
                <w:szCs w:val="28"/>
              </w:rPr>
              <w:t>Age</w:t>
            </w:r>
          </w:p>
        </w:tc>
        <w:tc>
          <w:tcPr>
            <w:tcW w:w="1417" w:type="dxa"/>
          </w:tcPr>
          <w:p w:rsidR="00B335CC" w:rsidRPr="003F6020" w:rsidRDefault="000616C7" w:rsidP="007301F2">
            <w:pPr>
              <w:pStyle w:val="Default"/>
              <w:spacing w:line="360" w:lineRule="auto"/>
              <w:jc w:val="lowKashida"/>
              <w:rPr>
                <w:b/>
                <w:bCs/>
                <w:noProof/>
                <w:sz w:val="28"/>
                <w:szCs w:val="28"/>
              </w:rPr>
            </w:pPr>
            <w:r>
              <w:rPr>
                <w:b/>
                <w:bCs/>
                <w:sz w:val="28"/>
                <w:szCs w:val="28"/>
              </w:rPr>
              <w:t>WBCs</w:t>
            </w:r>
            <w:r w:rsidR="00B335CC" w:rsidRPr="003F6020">
              <w:rPr>
                <w:b/>
                <w:bCs/>
                <w:sz w:val="28"/>
                <w:szCs w:val="28"/>
              </w:rPr>
              <w:t>(x 106 /µL)</w:t>
            </w:r>
          </w:p>
        </w:tc>
        <w:tc>
          <w:tcPr>
            <w:tcW w:w="2703" w:type="dxa"/>
            <w:gridSpan w:val="2"/>
          </w:tcPr>
          <w:p w:rsidR="00B335CC" w:rsidRPr="003F6020" w:rsidRDefault="00B335CC" w:rsidP="00910048">
            <w:pPr>
              <w:pStyle w:val="Default"/>
              <w:spacing w:line="360" w:lineRule="auto"/>
              <w:jc w:val="center"/>
              <w:rPr>
                <w:b/>
                <w:bCs/>
                <w:noProof/>
                <w:sz w:val="28"/>
                <w:szCs w:val="28"/>
              </w:rPr>
            </w:pPr>
            <w:proofErr w:type="spellStart"/>
            <w:r w:rsidRPr="003F6020">
              <w:rPr>
                <w:b/>
                <w:bCs/>
                <w:sz w:val="28"/>
                <w:szCs w:val="28"/>
              </w:rPr>
              <w:t>Neutrophile</w:t>
            </w:r>
            <w:proofErr w:type="spellEnd"/>
          </w:p>
          <w:p w:rsidR="00B335CC" w:rsidRPr="003F6020" w:rsidRDefault="00B335CC" w:rsidP="007301F2">
            <w:pPr>
              <w:pStyle w:val="Default"/>
              <w:spacing w:line="360" w:lineRule="auto"/>
              <w:jc w:val="lowKashida"/>
              <w:rPr>
                <w:b/>
                <w:bCs/>
                <w:noProof/>
                <w:sz w:val="28"/>
                <w:szCs w:val="28"/>
              </w:rPr>
            </w:pPr>
          </w:p>
          <w:p w:rsidR="00B335CC" w:rsidRPr="003F6020" w:rsidRDefault="00B335CC" w:rsidP="007301F2">
            <w:pPr>
              <w:pStyle w:val="Default"/>
              <w:spacing w:line="360" w:lineRule="auto"/>
              <w:jc w:val="lowKashida"/>
              <w:rPr>
                <w:b/>
                <w:bCs/>
                <w:noProof/>
                <w:sz w:val="28"/>
                <w:szCs w:val="28"/>
              </w:rPr>
            </w:pPr>
          </w:p>
          <w:p w:rsidR="00B335CC" w:rsidRPr="003F6020" w:rsidRDefault="00B335CC" w:rsidP="003F6020">
            <w:pPr>
              <w:pStyle w:val="Default"/>
              <w:spacing w:line="360" w:lineRule="auto"/>
              <w:jc w:val="right"/>
              <w:rPr>
                <w:b/>
                <w:bCs/>
                <w:noProof/>
                <w:sz w:val="28"/>
                <w:szCs w:val="28"/>
              </w:rPr>
            </w:pPr>
            <w:r w:rsidRPr="003F6020">
              <w:rPr>
                <w:b/>
                <w:bCs/>
                <w:noProof/>
                <w:sz w:val="28"/>
                <w:szCs w:val="28"/>
              </w:rPr>
              <w:lastRenderedPageBreak/>
              <w:t xml:space="preserve">(%)                </w:t>
            </w:r>
            <w:r w:rsidRPr="003F6020">
              <w:rPr>
                <w:b/>
                <w:bCs/>
                <w:sz w:val="28"/>
                <w:szCs w:val="28"/>
              </w:rPr>
              <w:t>(x 103 /µL</w:t>
            </w:r>
            <w:r w:rsidRPr="003F6020">
              <w:rPr>
                <w:sz w:val="28"/>
                <w:szCs w:val="28"/>
              </w:rPr>
              <w:t>)</w:t>
            </w:r>
          </w:p>
        </w:tc>
        <w:tc>
          <w:tcPr>
            <w:tcW w:w="2542" w:type="dxa"/>
            <w:gridSpan w:val="2"/>
          </w:tcPr>
          <w:p w:rsidR="00B335CC" w:rsidRPr="003F6020" w:rsidRDefault="00B335CC" w:rsidP="00B335CC">
            <w:pPr>
              <w:pStyle w:val="Default"/>
              <w:spacing w:line="360" w:lineRule="auto"/>
              <w:jc w:val="lowKashida"/>
              <w:rPr>
                <w:b/>
                <w:bCs/>
                <w:noProof/>
                <w:sz w:val="28"/>
                <w:szCs w:val="28"/>
              </w:rPr>
            </w:pPr>
            <w:r w:rsidRPr="003F6020">
              <w:rPr>
                <w:b/>
                <w:bCs/>
                <w:sz w:val="28"/>
                <w:szCs w:val="28"/>
              </w:rPr>
              <w:lastRenderedPageBreak/>
              <w:t xml:space="preserve"> Lymphocytes</w:t>
            </w:r>
          </w:p>
          <w:p w:rsidR="00B335CC" w:rsidRPr="003F6020" w:rsidRDefault="00B335CC" w:rsidP="00B335CC">
            <w:pPr>
              <w:pStyle w:val="Default"/>
              <w:spacing w:line="360" w:lineRule="auto"/>
              <w:rPr>
                <w:b/>
                <w:bCs/>
                <w:noProof/>
                <w:sz w:val="28"/>
                <w:szCs w:val="28"/>
              </w:rPr>
            </w:pPr>
          </w:p>
          <w:p w:rsidR="00B335CC" w:rsidRPr="003F6020" w:rsidRDefault="00B335CC" w:rsidP="00B335CC">
            <w:pPr>
              <w:pStyle w:val="Default"/>
              <w:spacing w:line="360" w:lineRule="auto"/>
              <w:jc w:val="right"/>
              <w:rPr>
                <w:b/>
                <w:bCs/>
                <w:noProof/>
                <w:sz w:val="28"/>
                <w:szCs w:val="28"/>
              </w:rPr>
            </w:pPr>
            <w:r w:rsidRPr="003F6020">
              <w:rPr>
                <w:b/>
                <w:bCs/>
                <w:noProof/>
                <w:sz w:val="28"/>
                <w:szCs w:val="28"/>
              </w:rPr>
              <w:t>(%)</w:t>
            </w:r>
            <w:r w:rsidRPr="003F6020">
              <w:rPr>
                <w:b/>
                <w:bCs/>
                <w:sz w:val="28"/>
                <w:szCs w:val="28"/>
              </w:rPr>
              <w:t xml:space="preserve">              (x 103 </w:t>
            </w:r>
            <w:r w:rsidRPr="003F6020">
              <w:rPr>
                <w:b/>
                <w:bCs/>
                <w:sz w:val="28"/>
                <w:szCs w:val="28"/>
              </w:rPr>
              <w:lastRenderedPageBreak/>
              <w:t>/µL</w:t>
            </w:r>
            <w:r w:rsidRPr="003F6020">
              <w:rPr>
                <w:b/>
                <w:bCs/>
                <w:noProof/>
                <w:sz w:val="28"/>
                <w:szCs w:val="28"/>
              </w:rPr>
              <w:t>)</w:t>
            </w:r>
          </w:p>
        </w:tc>
        <w:tc>
          <w:tcPr>
            <w:tcW w:w="1985" w:type="dxa"/>
          </w:tcPr>
          <w:p w:rsidR="00B335CC" w:rsidRPr="003F6020" w:rsidRDefault="00B335CC" w:rsidP="007301F2">
            <w:pPr>
              <w:pStyle w:val="Default"/>
              <w:spacing w:line="360" w:lineRule="auto"/>
              <w:jc w:val="lowKashida"/>
              <w:rPr>
                <w:b/>
                <w:bCs/>
                <w:noProof/>
                <w:sz w:val="28"/>
                <w:szCs w:val="28"/>
              </w:rPr>
            </w:pPr>
            <w:r w:rsidRPr="003F6020">
              <w:rPr>
                <w:b/>
                <w:bCs/>
                <w:sz w:val="28"/>
                <w:szCs w:val="28"/>
              </w:rPr>
              <w:lastRenderedPageBreak/>
              <w:t xml:space="preserve"> </w:t>
            </w:r>
            <w:r w:rsidR="00910048" w:rsidRPr="003F6020">
              <w:rPr>
                <w:b/>
                <w:bCs/>
                <w:sz w:val="28"/>
                <w:szCs w:val="28"/>
              </w:rPr>
              <w:t xml:space="preserve">Monocytes </w:t>
            </w:r>
            <w:r w:rsidRPr="003F6020">
              <w:rPr>
                <w:b/>
                <w:bCs/>
                <w:sz w:val="28"/>
                <w:szCs w:val="28"/>
              </w:rPr>
              <w:t>(%)</w:t>
            </w:r>
          </w:p>
        </w:tc>
      </w:tr>
      <w:tr w:rsidR="00B335CC" w:rsidRPr="00B335CC" w:rsidTr="003F6020">
        <w:tc>
          <w:tcPr>
            <w:tcW w:w="1844" w:type="dxa"/>
          </w:tcPr>
          <w:p w:rsidR="00B335CC" w:rsidRPr="003F6020" w:rsidRDefault="00B335CC" w:rsidP="007301F2">
            <w:pPr>
              <w:pStyle w:val="Default"/>
              <w:spacing w:line="360" w:lineRule="auto"/>
              <w:jc w:val="lowKashida"/>
              <w:rPr>
                <w:b/>
                <w:bCs/>
                <w:noProof/>
                <w:sz w:val="28"/>
                <w:szCs w:val="28"/>
              </w:rPr>
            </w:pPr>
            <w:r w:rsidRPr="003F6020">
              <w:rPr>
                <w:b/>
                <w:bCs/>
                <w:sz w:val="28"/>
                <w:szCs w:val="28"/>
              </w:rPr>
              <w:lastRenderedPageBreak/>
              <w:t>1-3 days</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9-38</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41-81</w:t>
            </w:r>
          </w:p>
        </w:tc>
        <w:tc>
          <w:tcPr>
            <w:tcW w:w="1389" w:type="dxa"/>
          </w:tcPr>
          <w:p w:rsidR="00B335CC" w:rsidRPr="003F6020" w:rsidRDefault="00910048" w:rsidP="007301F2">
            <w:pPr>
              <w:pStyle w:val="Default"/>
              <w:spacing w:line="360" w:lineRule="auto"/>
              <w:jc w:val="lowKashida"/>
              <w:rPr>
                <w:noProof/>
                <w:sz w:val="28"/>
                <w:szCs w:val="28"/>
              </w:rPr>
            </w:pPr>
            <w:r w:rsidRPr="003F6020">
              <w:rPr>
                <w:sz w:val="28"/>
                <w:szCs w:val="28"/>
              </w:rPr>
              <w:t>6-26</w:t>
            </w: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21-41</w:t>
            </w:r>
          </w:p>
        </w:tc>
        <w:tc>
          <w:tcPr>
            <w:tcW w:w="1385" w:type="dxa"/>
          </w:tcPr>
          <w:p w:rsidR="00B335CC" w:rsidRPr="003F6020" w:rsidRDefault="003F6020" w:rsidP="007301F2">
            <w:pPr>
              <w:pStyle w:val="Default"/>
              <w:spacing w:line="360" w:lineRule="auto"/>
              <w:jc w:val="lowKashida"/>
              <w:rPr>
                <w:noProof/>
                <w:sz w:val="28"/>
                <w:szCs w:val="28"/>
              </w:rPr>
            </w:pPr>
            <w:r w:rsidRPr="003F6020">
              <w:rPr>
                <w:sz w:val="28"/>
                <w:szCs w:val="28"/>
              </w:rPr>
              <w:t>2-17</w:t>
            </w:r>
          </w:p>
        </w:tc>
        <w:tc>
          <w:tcPr>
            <w:tcW w:w="1985" w:type="dxa"/>
          </w:tcPr>
          <w:p w:rsidR="00910048" w:rsidRPr="003F6020" w:rsidRDefault="00910048" w:rsidP="00910048">
            <w:pPr>
              <w:pStyle w:val="Default"/>
              <w:spacing w:line="360" w:lineRule="auto"/>
              <w:jc w:val="lowKashida"/>
              <w:rPr>
                <w:noProof/>
                <w:sz w:val="28"/>
                <w:szCs w:val="28"/>
              </w:rPr>
            </w:pPr>
          </w:p>
          <w:p w:rsidR="00B335CC" w:rsidRPr="003F6020" w:rsidRDefault="003F6020" w:rsidP="007301F2">
            <w:pPr>
              <w:pStyle w:val="Default"/>
              <w:spacing w:line="360" w:lineRule="auto"/>
              <w:jc w:val="lowKashida"/>
              <w:rPr>
                <w:noProof/>
                <w:sz w:val="28"/>
                <w:szCs w:val="28"/>
              </w:rPr>
            </w:pPr>
            <w:r w:rsidRPr="003F6020">
              <w:rPr>
                <w:sz w:val="28"/>
                <w:szCs w:val="28"/>
              </w:rPr>
              <w:t>0.4-3.1</w:t>
            </w:r>
          </w:p>
        </w:tc>
      </w:tr>
      <w:tr w:rsidR="00B335CC" w:rsidRPr="00B335CC" w:rsidTr="003F6020">
        <w:tc>
          <w:tcPr>
            <w:tcW w:w="1844" w:type="dxa"/>
          </w:tcPr>
          <w:p w:rsidR="00B335CC" w:rsidRPr="003F6020" w:rsidRDefault="00B335CC" w:rsidP="007301F2">
            <w:pPr>
              <w:pStyle w:val="Default"/>
              <w:spacing w:line="360" w:lineRule="auto"/>
              <w:jc w:val="lowKashida"/>
              <w:rPr>
                <w:b/>
                <w:bCs/>
                <w:noProof/>
                <w:sz w:val="28"/>
                <w:szCs w:val="28"/>
              </w:rPr>
            </w:pPr>
            <w:r w:rsidRPr="003F6020">
              <w:rPr>
                <w:b/>
                <w:bCs/>
                <w:sz w:val="28"/>
                <w:szCs w:val="28"/>
              </w:rPr>
              <w:t>6 months-1 year</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6.0-17.5</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15-45</w:t>
            </w:r>
          </w:p>
        </w:tc>
        <w:tc>
          <w:tcPr>
            <w:tcW w:w="1389" w:type="dxa"/>
          </w:tcPr>
          <w:p w:rsidR="00B335CC" w:rsidRPr="003F6020" w:rsidRDefault="00910048" w:rsidP="007301F2">
            <w:pPr>
              <w:pStyle w:val="Default"/>
              <w:spacing w:line="360" w:lineRule="auto"/>
              <w:jc w:val="lowKashida"/>
              <w:rPr>
                <w:noProof/>
                <w:sz w:val="28"/>
                <w:szCs w:val="28"/>
              </w:rPr>
            </w:pPr>
            <w:r w:rsidRPr="003F6020">
              <w:rPr>
                <w:sz w:val="28"/>
                <w:szCs w:val="28"/>
              </w:rPr>
              <w:t>0.5-9.5</w:t>
            </w: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47-77</w:t>
            </w:r>
          </w:p>
        </w:tc>
        <w:tc>
          <w:tcPr>
            <w:tcW w:w="1385" w:type="dxa"/>
          </w:tcPr>
          <w:p w:rsidR="00B335CC" w:rsidRPr="003F6020" w:rsidRDefault="00B335CC" w:rsidP="007301F2">
            <w:pPr>
              <w:pStyle w:val="Default"/>
              <w:spacing w:line="360" w:lineRule="auto"/>
              <w:jc w:val="lowKashida"/>
              <w:rPr>
                <w:noProof/>
                <w:sz w:val="28"/>
                <w:szCs w:val="28"/>
              </w:rPr>
            </w:pPr>
          </w:p>
        </w:tc>
        <w:tc>
          <w:tcPr>
            <w:tcW w:w="1985" w:type="dxa"/>
          </w:tcPr>
          <w:p w:rsidR="00B335CC" w:rsidRPr="003F6020" w:rsidRDefault="003F6020" w:rsidP="007301F2">
            <w:pPr>
              <w:pStyle w:val="Default"/>
              <w:spacing w:line="360" w:lineRule="auto"/>
              <w:jc w:val="lowKashida"/>
              <w:rPr>
                <w:noProof/>
                <w:sz w:val="28"/>
                <w:szCs w:val="28"/>
              </w:rPr>
            </w:pPr>
            <w:r w:rsidRPr="003F6020">
              <w:rPr>
                <w:sz w:val="28"/>
                <w:szCs w:val="28"/>
              </w:rPr>
              <w:t>0-2.4</w:t>
            </w:r>
          </w:p>
        </w:tc>
      </w:tr>
      <w:tr w:rsidR="00B335CC" w:rsidRPr="00B335CC" w:rsidTr="003F6020">
        <w:tc>
          <w:tcPr>
            <w:tcW w:w="1844" w:type="dxa"/>
          </w:tcPr>
          <w:p w:rsidR="00B335CC" w:rsidRPr="003F6020" w:rsidRDefault="00B335CC" w:rsidP="00910048">
            <w:pPr>
              <w:pStyle w:val="Default"/>
              <w:spacing w:line="360" w:lineRule="auto"/>
              <w:jc w:val="lowKashida"/>
              <w:rPr>
                <w:b/>
                <w:bCs/>
                <w:noProof/>
                <w:sz w:val="28"/>
                <w:szCs w:val="28"/>
              </w:rPr>
            </w:pPr>
            <w:r w:rsidRPr="003F6020">
              <w:rPr>
                <w:b/>
                <w:bCs/>
                <w:sz w:val="28"/>
                <w:szCs w:val="28"/>
              </w:rPr>
              <w:t>1-</w:t>
            </w:r>
            <w:r w:rsidR="00910048" w:rsidRPr="003F6020">
              <w:rPr>
                <w:b/>
                <w:bCs/>
                <w:sz w:val="28"/>
                <w:szCs w:val="28"/>
              </w:rPr>
              <w:t>3</w:t>
            </w:r>
            <w:r w:rsidRPr="003F6020">
              <w:rPr>
                <w:b/>
                <w:bCs/>
                <w:sz w:val="28"/>
                <w:szCs w:val="28"/>
              </w:rPr>
              <w:t xml:space="preserve"> years</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6.0-17.0</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15-45</w:t>
            </w:r>
          </w:p>
        </w:tc>
        <w:tc>
          <w:tcPr>
            <w:tcW w:w="1389" w:type="dxa"/>
          </w:tcPr>
          <w:p w:rsidR="00B335CC" w:rsidRPr="003F6020" w:rsidRDefault="00B335CC" w:rsidP="007301F2">
            <w:pPr>
              <w:pStyle w:val="Default"/>
              <w:spacing w:line="360" w:lineRule="auto"/>
              <w:jc w:val="lowKashida"/>
              <w:rPr>
                <w:noProof/>
                <w:sz w:val="28"/>
                <w:szCs w:val="28"/>
              </w:rPr>
            </w:pP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44-74</w:t>
            </w:r>
          </w:p>
        </w:tc>
        <w:tc>
          <w:tcPr>
            <w:tcW w:w="1385" w:type="dxa"/>
          </w:tcPr>
          <w:p w:rsidR="00B335CC" w:rsidRPr="003F6020" w:rsidRDefault="003F6020" w:rsidP="007301F2">
            <w:pPr>
              <w:pStyle w:val="Default"/>
              <w:spacing w:line="360" w:lineRule="auto"/>
              <w:jc w:val="lowKashida"/>
              <w:rPr>
                <w:noProof/>
                <w:sz w:val="28"/>
                <w:szCs w:val="28"/>
              </w:rPr>
            </w:pPr>
            <w:r w:rsidRPr="003F6020">
              <w:rPr>
                <w:sz w:val="28"/>
                <w:szCs w:val="28"/>
              </w:rPr>
              <w:t>1.5-8.5</w:t>
            </w:r>
          </w:p>
        </w:tc>
        <w:tc>
          <w:tcPr>
            <w:tcW w:w="1985" w:type="dxa"/>
          </w:tcPr>
          <w:p w:rsidR="00B335CC" w:rsidRPr="003F6020" w:rsidRDefault="00B335CC" w:rsidP="007301F2">
            <w:pPr>
              <w:pStyle w:val="Default"/>
              <w:spacing w:line="360" w:lineRule="auto"/>
              <w:jc w:val="lowKashida"/>
              <w:rPr>
                <w:noProof/>
                <w:sz w:val="28"/>
                <w:szCs w:val="28"/>
              </w:rPr>
            </w:pPr>
          </w:p>
        </w:tc>
      </w:tr>
      <w:tr w:rsidR="00B335CC" w:rsidRPr="00B335CC" w:rsidTr="003F6020">
        <w:tc>
          <w:tcPr>
            <w:tcW w:w="1844" w:type="dxa"/>
          </w:tcPr>
          <w:p w:rsidR="00B335CC" w:rsidRPr="003F6020" w:rsidRDefault="00910048" w:rsidP="00910048">
            <w:pPr>
              <w:pStyle w:val="Default"/>
              <w:spacing w:line="360" w:lineRule="auto"/>
              <w:jc w:val="lowKashida"/>
              <w:rPr>
                <w:b/>
                <w:bCs/>
                <w:noProof/>
                <w:sz w:val="28"/>
                <w:szCs w:val="28"/>
              </w:rPr>
            </w:pPr>
            <w:r w:rsidRPr="003F6020">
              <w:rPr>
                <w:b/>
                <w:bCs/>
                <w:sz w:val="28"/>
                <w:szCs w:val="28"/>
              </w:rPr>
              <w:t>3</w:t>
            </w:r>
            <w:r w:rsidR="00B335CC" w:rsidRPr="003F6020">
              <w:rPr>
                <w:b/>
                <w:bCs/>
                <w:sz w:val="28"/>
                <w:szCs w:val="28"/>
              </w:rPr>
              <w:t>-</w:t>
            </w:r>
            <w:r w:rsidRPr="003F6020">
              <w:rPr>
                <w:b/>
                <w:bCs/>
                <w:sz w:val="28"/>
                <w:szCs w:val="28"/>
              </w:rPr>
              <w:t>5</w:t>
            </w:r>
            <w:r w:rsidR="00B335CC" w:rsidRPr="003F6020">
              <w:rPr>
                <w:b/>
                <w:bCs/>
                <w:sz w:val="28"/>
                <w:szCs w:val="28"/>
              </w:rPr>
              <w:t xml:space="preserve"> years</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5.5-15.5</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25-57</w:t>
            </w:r>
          </w:p>
        </w:tc>
        <w:tc>
          <w:tcPr>
            <w:tcW w:w="1389" w:type="dxa"/>
          </w:tcPr>
          <w:p w:rsidR="00B335CC" w:rsidRPr="003F6020" w:rsidRDefault="00910048" w:rsidP="007301F2">
            <w:pPr>
              <w:pStyle w:val="Default"/>
              <w:spacing w:line="360" w:lineRule="auto"/>
              <w:jc w:val="lowKashida"/>
              <w:rPr>
                <w:noProof/>
                <w:sz w:val="28"/>
                <w:szCs w:val="28"/>
              </w:rPr>
            </w:pPr>
            <w:r w:rsidRPr="003F6020">
              <w:rPr>
                <w:sz w:val="28"/>
                <w:szCs w:val="28"/>
              </w:rPr>
              <w:t>1.5-7.5</w:t>
            </w: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35-65</w:t>
            </w:r>
          </w:p>
        </w:tc>
        <w:tc>
          <w:tcPr>
            <w:tcW w:w="1385" w:type="dxa"/>
          </w:tcPr>
          <w:p w:rsidR="00B335CC" w:rsidRPr="003F6020" w:rsidRDefault="00B335CC" w:rsidP="007301F2">
            <w:pPr>
              <w:pStyle w:val="Default"/>
              <w:spacing w:line="360" w:lineRule="auto"/>
              <w:jc w:val="lowKashida"/>
              <w:rPr>
                <w:noProof/>
                <w:sz w:val="28"/>
                <w:szCs w:val="28"/>
              </w:rPr>
            </w:pPr>
          </w:p>
        </w:tc>
        <w:tc>
          <w:tcPr>
            <w:tcW w:w="1985" w:type="dxa"/>
          </w:tcPr>
          <w:p w:rsidR="00B335CC" w:rsidRPr="003F6020" w:rsidRDefault="003F6020" w:rsidP="007301F2">
            <w:pPr>
              <w:pStyle w:val="Default"/>
              <w:spacing w:line="360" w:lineRule="auto"/>
              <w:jc w:val="lowKashida"/>
              <w:rPr>
                <w:noProof/>
                <w:sz w:val="28"/>
                <w:szCs w:val="28"/>
              </w:rPr>
            </w:pPr>
            <w:r w:rsidRPr="003F6020">
              <w:rPr>
                <w:sz w:val="28"/>
                <w:szCs w:val="28"/>
              </w:rPr>
              <w:t>0-0.8</w:t>
            </w:r>
          </w:p>
        </w:tc>
      </w:tr>
      <w:tr w:rsidR="00B335CC" w:rsidRPr="00B335CC" w:rsidTr="003F6020">
        <w:tc>
          <w:tcPr>
            <w:tcW w:w="1844" w:type="dxa"/>
          </w:tcPr>
          <w:p w:rsidR="00B335CC" w:rsidRPr="003F6020" w:rsidRDefault="00910048" w:rsidP="00910048">
            <w:pPr>
              <w:pStyle w:val="Default"/>
              <w:spacing w:line="360" w:lineRule="auto"/>
              <w:jc w:val="lowKashida"/>
              <w:rPr>
                <w:b/>
                <w:bCs/>
                <w:noProof/>
                <w:sz w:val="28"/>
                <w:szCs w:val="28"/>
              </w:rPr>
            </w:pPr>
            <w:r w:rsidRPr="003F6020">
              <w:rPr>
                <w:b/>
                <w:bCs/>
                <w:sz w:val="28"/>
                <w:szCs w:val="28"/>
              </w:rPr>
              <w:t>6</w:t>
            </w:r>
            <w:r w:rsidR="00B335CC" w:rsidRPr="003F6020">
              <w:rPr>
                <w:b/>
                <w:bCs/>
                <w:sz w:val="28"/>
                <w:szCs w:val="28"/>
              </w:rPr>
              <w:t>-</w:t>
            </w:r>
            <w:r w:rsidRPr="003F6020">
              <w:rPr>
                <w:b/>
                <w:bCs/>
                <w:sz w:val="28"/>
                <w:szCs w:val="28"/>
              </w:rPr>
              <w:t>10</w:t>
            </w:r>
            <w:r w:rsidR="00B335CC" w:rsidRPr="003F6020">
              <w:rPr>
                <w:b/>
                <w:bCs/>
                <w:sz w:val="28"/>
                <w:szCs w:val="28"/>
              </w:rPr>
              <w:t xml:space="preserve"> years</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4.5-14.5</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38-68</w:t>
            </w:r>
          </w:p>
        </w:tc>
        <w:tc>
          <w:tcPr>
            <w:tcW w:w="1389" w:type="dxa"/>
          </w:tcPr>
          <w:p w:rsidR="00B335CC" w:rsidRPr="003F6020" w:rsidRDefault="00B335CC" w:rsidP="007301F2">
            <w:pPr>
              <w:pStyle w:val="Default"/>
              <w:spacing w:line="360" w:lineRule="auto"/>
              <w:jc w:val="lowKashida"/>
              <w:rPr>
                <w:noProof/>
                <w:sz w:val="28"/>
                <w:szCs w:val="28"/>
              </w:rPr>
            </w:pP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25-54</w:t>
            </w:r>
          </w:p>
        </w:tc>
        <w:tc>
          <w:tcPr>
            <w:tcW w:w="1385" w:type="dxa"/>
          </w:tcPr>
          <w:p w:rsidR="00B335CC" w:rsidRPr="003F6020" w:rsidRDefault="00B335CC" w:rsidP="007301F2">
            <w:pPr>
              <w:pStyle w:val="Default"/>
              <w:spacing w:line="360" w:lineRule="auto"/>
              <w:jc w:val="lowKashida"/>
              <w:rPr>
                <w:noProof/>
                <w:sz w:val="28"/>
                <w:szCs w:val="28"/>
              </w:rPr>
            </w:pPr>
          </w:p>
        </w:tc>
        <w:tc>
          <w:tcPr>
            <w:tcW w:w="1985" w:type="dxa"/>
          </w:tcPr>
          <w:p w:rsidR="00B335CC" w:rsidRPr="003F6020" w:rsidRDefault="00B335CC" w:rsidP="007301F2">
            <w:pPr>
              <w:pStyle w:val="Default"/>
              <w:spacing w:line="360" w:lineRule="auto"/>
              <w:jc w:val="lowKashida"/>
              <w:rPr>
                <w:noProof/>
                <w:sz w:val="28"/>
                <w:szCs w:val="28"/>
              </w:rPr>
            </w:pPr>
          </w:p>
        </w:tc>
      </w:tr>
      <w:tr w:rsidR="00B335CC" w:rsidRPr="00B335CC" w:rsidTr="003F6020">
        <w:tc>
          <w:tcPr>
            <w:tcW w:w="1844" w:type="dxa"/>
          </w:tcPr>
          <w:p w:rsidR="00B335CC" w:rsidRPr="003F6020" w:rsidRDefault="003F6020" w:rsidP="003F6020">
            <w:pPr>
              <w:pStyle w:val="Default"/>
              <w:spacing w:line="360" w:lineRule="auto"/>
              <w:jc w:val="lowKashida"/>
              <w:rPr>
                <w:b/>
                <w:bCs/>
                <w:noProof/>
                <w:sz w:val="28"/>
                <w:szCs w:val="28"/>
              </w:rPr>
            </w:pPr>
            <w:r w:rsidRPr="003F6020">
              <w:rPr>
                <w:b/>
                <w:bCs/>
                <w:sz w:val="28"/>
                <w:szCs w:val="28"/>
              </w:rPr>
              <w:t>10</w:t>
            </w:r>
            <w:r w:rsidR="00B335CC" w:rsidRPr="003F6020">
              <w:rPr>
                <w:b/>
                <w:bCs/>
                <w:sz w:val="28"/>
                <w:szCs w:val="28"/>
              </w:rPr>
              <w:t>-1</w:t>
            </w:r>
            <w:r w:rsidRPr="003F6020">
              <w:rPr>
                <w:b/>
                <w:bCs/>
                <w:sz w:val="28"/>
                <w:szCs w:val="28"/>
              </w:rPr>
              <w:t>5</w:t>
            </w:r>
            <w:r w:rsidR="00B335CC" w:rsidRPr="003F6020">
              <w:rPr>
                <w:b/>
                <w:bCs/>
                <w:sz w:val="28"/>
                <w:szCs w:val="28"/>
              </w:rPr>
              <w:t xml:space="preserve"> years</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4.5-13.5</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40-70</w:t>
            </w:r>
          </w:p>
        </w:tc>
        <w:tc>
          <w:tcPr>
            <w:tcW w:w="1389" w:type="dxa"/>
          </w:tcPr>
          <w:p w:rsidR="00B335CC" w:rsidRPr="003F6020" w:rsidRDefault="003F6020" w:rsidP="007301F2">
            <w:pPr>
              <w:pStyle w:val="Default"/>
              <w:spacing w:line="360" w:lineRule="auto"/>
              <w:jc w:val="lowKashida"/>
              <w:rPr>
                <w:noProof/>
                <w:sz w:val="28"/>
                <w:szCs w:val="28"/>
              </w:rPr>
            </w:pPr>
            <w:r w:rsidRPr="003F6020">
              <w:rPr>
                <w:sz w:val="28"/>
                <w:szCs w:val="28"/>
              </w:rPr>
              <w:t>1.5-6.5</w:t>
            </w: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28-48</w:t>
            </w:r>
          </w:p>
        </w:tc>
        <w:tc>
          <w:tcPr>
            <w:tcW w:w="1385" w:type="dxa"/>
          </w:tcPr>
          <w:p w:rsidR="00B335CC" w:rsidRPr="003F6020" w:rsidRDefault="003F6020" w:rsidP="007301F2">
            <w:pPr>
              <w:pStyle w:val="Default"/>
              <w:spacing w:line="360" w:lineRule="auto"/>
              <w:jc w:val="lowKashida"/>
              <w:rPr>
                <w:noProof/>
                <w:sz w:val="28"/>
                <w:szCs w:val="28"/>
              </w:rPr>
            </w:pPr>
            <w:r w:rsidRPr="003F6020">
              <w:rPr>
                <w:sz w:val="28"/>
                <w:szCs w:val="28"/>
              </w:rPr>
              <w:t>1.5-6.5</w:t>
            </w:r>
          </w:p>
        </w:tc>
        <w:tc>
          <w:tcPr>
            <w:tcW w:w="1985" w:type="dxa"/>
          </w:tcPr>
          <w:p w:rsidR="00B335CC" w:rsidRPr="003F6020" w:rsidRDefault="00B335CC" w:rsidP="007301F2">
            <w:pPr>
              <w:pStyle w:val="Default"/>
              <w:spacing w:line="360" w:lineRule="auto"/>
              <w:jc w:val="lowKashida"/>
              <w:rPr>
                <w:noProof/>
                <w:sz w:val="28"/>
                <w:szCs w:val="28"/>
              </w:rPr>
            </w:pPr>
          </w:p>
        </w:tc>
      </w:tr>
      <w:tr w:rsidR="00B335CC" w:rsidRPr="00B335CC" w:rsidTr="003F6020">
        <w:tc>
          <w:tcPr>
            <w:tcW w:w="1844" w:type="dxa"/>
          </w:tcPr>
          <w:p w:rsidR="00B335CC" w:rsidRPr="003F6020" w:rsidRDefault="00B335CC" w:rsidP="003F6020">
            <w:pPr>
              <w:pStyle w:val="Default"/>
              <w:spacing w:line="360" w:lineRule="auto"/>
              <w:jc w:val="lowKashida"/>
              <w:rPr>
                <w:b/>
                <w:bCs/>
                <w:noProof/>
                <w:sz w:val="28"/>
                <w:szCs w:val="28"/>
              </w:rPr>
            </w:pPr>
            <w:r w:rsidRPr="003F6020">
              <w:rPr>
                <w:b/>
                <w:bCs/>
                <w:sz w:val="28"/>
                <w:szCs w:val="28"/>
              </w:rPr>
              <w:t>1</w:t>
            </w:r>
            <w:r w:rsidR="003F6020" w:rsidRPr="003F6020">
              <w:rPr>
                <w:b/>
                <w:bCs/>
                <w:sz w:val="28"/>
                <w:szCs w:val="28"/>
              </w:rPr>
              <w:t>5</w:t>
            </w:r>
            <w:r w:rsidRPr="003F6020">
              <w:rPr>
                <w:b/>
                <w:bCs/>
                <w:sz w:val="28"/>
                <w:szCs w:val="28"/>
              </w:rPr>
              <w:t>-</w:t>
            </w:r>
            <w:r w:rsidR="003F6020" w:rsidRPr="003F6020">
              <w:rPr>
                <w:b/>
                <w:bCs/>
                <w:sz w:val="28"/>
                <w:szCs w:val="28"/>
              </w:rPr>
              <w:t>20</w:t>
            </w:r>
            <w:r w:rsidRPr="003F6020">
              <w:rPr>
                <w:b/>
                <w:bCs/>
                <w:sz w:val="28"/>
                <w:szCs w:val="28"/>
              </w:rPr>
              <w:t xml:space="preserve"> years</w:t>
            </w:r>
          </w:p>
        </w:tc>
        <w:tc>
          <w:tcPr>
            <w:tcW w:w="1417" w:type="dxa"/>
          </w:tcPr>
          <w:p w:rsidR="00B335CC" w:rsidRPr="003F6020" w:rsidRDefault="00910048" w:rsidP="007301F2">
            <w:pPr>
              <w:pStyle w:val="Default"/>
              <w:spacing w:line="360" w:lineRule="auto"/>
              <w:jc w:val="lowKashida"/>
              <w:rPr>
                <w:noProof/>
                <w:sz w:val="28"/>
                <w:szCs w:val="28"/>
              </w:rPr>
            </w:pPr>
            <w:r w:rsidRPr="003F6020">
              <w:rPr>
                <w:sz w:val="28"/>
                <w:szCs w:val="28"/>
              </w:rPr>
              <w:t>4.5-12.5</w:t>
            </w:r>
          </w:p>
        </w:tc>
        <w:tc>
          <w:tcPr>
            <w:tcW w:w="1314" w:type="dxa"/>
          </w:tcPr>
          <w:p w:rsidR="00B335CC" w:rsidRPr="003F6020" w:rsidRDefault="00910048" w:rsidP="007301F2">
            <w:pPr>
              <w:pStyle w:val="Default"/>
              <w:spacing w:line="360" w:lineRule="auto"/>
              <w:jc w:val="lowKashida"/>
              <w:rPr>
                <w:noProof/>
                <w:sz w:val="28"/>
                <w:szCs w:val="28"/>
              </w:rPr>
            </w:pPr>
            <w:r w:rsidRPr="003F6020">
              <w:rPr>
                <w:sz w:val="28"/>
                <w:szCs w:val="28"/>
              </w:rPr>
              <w:t>42-72</w:t>
            </w:r>
          </w:p>
        </w:tc>
        <w:tc>
          <w:tcPr>
            <w:tcW w:w="1389" w:type="dxa"/>
          </w:tcPr>
          <w:p w:rsidR="00B335CC" w:rsidRPr="003F6020" w:rsidRDefault="003F6020" w:rsidP="007301F2">
            <w:pPr>
              <w:pStyle w:val="Default"/>
              <w:spacing w:line="360" w:lineRule="auto"/>
              <w:jc w:val="lowKashida"/>
              <w:rPr>
                <w:noProof/>
                <w:sz w:val="28"/>
                <w:szCs w:val="28"/>
              </w:rPr>
            </w:pPr>
            <w:r w:rsidRPr="003F6020">
              <w:rPr>
                <w:sz w:val="28"/>
                <w:szCs w:val="28"/>
              </w:rPr>
              <w:t>1.5-7.5</w:t>
            </w:r>
          </w:p>
        </w:tc>
        <w:tc>
          <w:tcPr>
            <w:tcW w:w="1157" w:type="dxa"/>
          </w:tcPr>
          <w:p w:rsidR="00B335CC" w:rsidRPr="003F6020" w:rsidRDefault="003F6020" w:rsidP="007301F2">
            <w:pPr>
              <w:pStyle w:val="Default"/>
              <w:spacing w:line="360" w:lineRule="auto"/>
              <w:jc w:val="lowKashida"/>
              <w:rPr>
                <w:noProof/>
                <w:sz w:val="28"/>
                <w:szCs w:val="28"/>
              </w:rPr>
            </w:pPr>
            <w:r w:rsidRPr="003F6020">
              <w:rPr>
                <w:sz w:val="28"/>
                <w:szCs w:val="28"/>
              </w:rPr>
              <w:t>25-45</w:t>
            </w:r>
          </w:p>
        </w:tc>
        <w:tc>
          <w:tcPr>
            <w:tcW w:w="1385" w:type="dxa"/>
          </w:tcPr>
          <w:p w:rsidR="00B335CC" w:rsidRPr="003F6020" w:rsidRDefault="003F6020" w:rsidP="007301F2">
            <w:pPr>
              <w:pStyle w:val="Default"/>
              <w:spacing w:line="360" w:lineRule="auto"/>
              <w:jc w:val="lowKashida"/>
              <w:rPr>
                <w:noProof/>
                <w:sz w:val="28"/>
                <w:szCs w:val="28"/>
              </w:rPr>
            </w:pPr>
            <w:r w:rsidRPr="003F6020">
              <w:rPr>
                <w:sz w:val="28"/>
                <w:szCs w:val="28"/>
              </w:rPr>
              <w:t>1.5-5.0</w:t>
            </w:r>
          </w:p>
        </w:tc>
        <w:tc>
          <w:tcPr>
            <w:tcW w:w="1985" w:type="dxa"/>
          </w:tcPr>
          <w:p w:rsidR="00B335CC" w:rsidRPr="003F6020" w:rsidRDefault="003F6020" w:rsidP="007301F2">
            <w:pPr>
              <w:pStyle w:val="Default"/>
              <w:spacing w:line="360" w:lineRule="auto"/>
              <w:jc w:val="lowKashida"/>
              <w:rPr>
                <w:noProof/>
                <w:sz w:val="28"/>
                <w:szCs w:val="28"/>
              </w:rPr>
            </w:pPr>
            <w:r w:rsidRPr="003F6020">
              <w:rPr>
                <w:sz w:val="28"/>
                <w:szCs w:val="28"/>
              </w:rPr>
              <w:t>0-0.8</w:t>
            </w:r>
          </w:p>
        </w:tc>
      </w:tr>
    </w:tbl>
    <w:p w:rsidR="00B335CC" w:rsidRPr="000E7A80" w:rsidRDefault="00B335CC" w:rsidP="00CA5299">
      <w:pPr>
        <w:pStyle w:val="Default"/>
        <w:spacing w:line="360" w:lineRule="auto"/>
        <w:jc w:val="lowKashida"/>
        <w:rPr>
          <w:rFonts w:asciiTheme="majorBidi" w:hAnsiTheme="majorBidi" w:cstheme="majorBidi"/>
          <w:b/>
          <w:bCs/>
          <w:i/>
          <w:iCs/>
          <w:sz w:val="28"/>
          <w:szCs w:val="28"/>
        </w:rPr>
      </w:pPr>
    </w:p>
    <w:p w:rsidR="00DD5614" w:rsidRDefault="00DD5614" w:rsidP="003F6020">
      <w:pPr>
        <w:pStyle w:val="Default"/>
        <w:spacing w:line="360" w:lineRule="auto"/>
        <w:jc w:val="lowKashida"/>
        <w:rPr>
          <w:rFonts w:asciiTheme="majorBidi" w:hAnsiTheme="majorBidi" w:cstheme="majorBidi"/>
          <w:b/>
          <w:bCs/>
          <w:sz w:val="28"/>
          <w:szCs w:val="28"/>
        </w:rPr>
      </w:pPr>
    </w:p>
    <w:p w:rsidR="0084599F" w:rsidRDefault="0084599F" w:rsidP="003F6020">
      <w:pPr>
        <w:pStyle w:val="Default"/>
        <w:spacing w:line="360" w:lineRule="auto"/>
        <w:jc w:val="lowKashida"/>
        <w:rPr>
          <w:rFonts w:asciiTheme="majorBidi" w:hAnsiTheme="majorBidi" w:cstheme="majorBidi"/>
          <w:b/>
          <w:bCs/>
          <w:sz w:val="28"/>
          <w:szCs w:val="28"/>
        </w:rPr>
      </w:pPr>
      <w:r>
        <w:rPr>
          <w:noProof/>
          <w:color w:val="0000FF"/>
        </w:rPr>
        <w:drawing>
          <wp:inline distT="0" distB="0" distL="0" distR="0" wp14:anchorId="32C4F687" wp14:editId="789584D6">
            <wp:extent cx="4257675" cy="2419350"/>
            <wp:effectExtent l="76200" t="76200" r="142875" b="133350"/>
            <wp:docPr id="2" name="irc_mi" descr="نتيجة بحث الصور عن ‪normal peripheral blood smea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normal peripheral blood smea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419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599F" w:rsidRDefault="0084599F" w:rsidP="0084599F">
      <w:pPr>
        <w:pStyle w:val="Default"/>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 xml:space="preserve">Figure (3): Normal peripheral blood smear </w:t>
      </w:r>
      <w:proofErr w:type="gramStart"/>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Hegde</w:t>
      </w:r>
      <w:proofErr w:type="spellEnd"/>
      <w:proofErr w:type="gramEnd"/>
      <w:r>
        <w:rPr>
          <w:rFonts w:asciiTheme="majorBidi" w:hAnsiTheme="majorBidi" w:cstheme="majorBidi"/>
          <w:b/>
          <w:bCs/>
          <w:sz w:val="28"/>
          <w:szCs w:val="28"/>
        </w:rPr>
        <w:t xml:space="preserve"> et al., 2018).</w:t>
      </w:r>
    </w:p>
    <w:p w:rsidR="003C0FC5" w:rsidRDefault="003C0FC5" w:rsidP="003F6020">
      <w:pPr>
        <w:pStyle w:val="Default"/>
        <w:spacing w:line="360" w:lineRule="auto"/>
        <w:jc w:val="lowKashida"/>
        <w:rPr>
          <w:rFonts w:asciiTheme="majorBidi" w:hAnsiTheme="majorBidi" w:cstheme="majorBidi"/>
          <w:b/>
          <w:bCs/>
          <w:sz w:val="28"/>
          <w:szCs w:val="28"/>
        </w:rPr>
      </w:pPr>
      <w:r>
        <w:rPr>
          <w:noProof/>
          <w:color w:val="0000FF"/>
        </w:rPr>
        <w:lastRenderedPageBreak/>
        <w:drawing>
          <wp:inline distT="0" distB="0" distL="0" distR="0" wp14:anchorId="1A570CA2" wp14:editId="4851721D">
            <wp:extent cx="4229100" cy="1657350"/>
            <wp:effectExtent l="76200" t="76200" r="133350" b="133350"/>
            <wp:docPr id="17" name="irc_mi" descr="نتيجة بحث الصور عن ‪blood smear in AL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blood smear in AL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1657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0FC5" w:rsidRPr="00660E84" w:rsidRDefault="00660E84" w:rsidP="007301F2">
      <w:pPr>
        <w:pStyle w:val="Default"/>
        <w:spacing w:line="360" w:lineRule="auto"/>
        <w:jc w:val="lowKashida"/>
        <w:rPr>
          <w:rStyle w:val="Emphasis"/>
          <w:rFonts w:asciiTheme="majorBidi" w:hAnsiTheme="majorBidi" w:cstheme="majorBidi"/>
          <w:i w:val="0"/>
          <w:iCs w:val="0"/>
          <w:color w:val="000000" w:themeColor="text1"/>
          <w:sz w:val="28"/>
          <w:szCs w:val="28"/>
        </w:rPr>
      </w:pPr>
      <w:r w:rsidRPr="00660E84">
        <w:rPr>
          <w:rStyle w:val="Emphasis"/>
          <w:rFonts w:asciiTheme="majorBidi" w:hAnsiTheme="majorBidi" w:cstheme="majorBidi"/>
          <w:b/>
          <w:bCs/>
          <w:i w:val="0"/>
          <w:iCs w:val="0"/>
          <w:color w:val="000000" w:themeColor="text1"/>
          <w:sz w:val="28"/>
          <w:szCs w:val="28"/>
        </w:rPr>
        <w:t>Figure (</w:t>
      </w:r>
      <w:r w:rsidR="007301F2">
        <w:rPr>
          <w:rStyle w:val="Emphasis"/>
          <w:rFonts w:asciiTheme="majorBidi" w:hAnsiTheme="majorBidi" w:cstheme="majorBidi"/>
          <w:b/>
          <w:bCs/>
          <w:i w:val="0"/>
          <w:iCs w:val="0"/>
          <w:color w:val="000000" w:themeColor="text1"/>
          <w:sz w:val="28"/>
          <w:szCs w:val="28"/>
        </w:rPr>
        <w:t>4</w:t>
      </w:r>
      <w:r w:rsidRPr="00660E84">
        <w:rPr>
          <w:rStyle w:val="Emphasis"/>
          <w:rFonts w:asciiTheme="majorBidi" w:hAnsiTheme="majorBidi" w:cstheme="majorBidi"/>
          <w:b/>
          <w:bCs/>
          <w:i w:val="0"/>
          <w:iCs w:val="0"/>
          <w:color w:val="000000" w:themeColor="text1"/>
          <w:sz w:val="28"/>
          <w:szCs w:val="28"/>
        </w:rPr>
        <w:t>)</w:t>
      </w:r>
      <w:r w:rsidRPr="00660E84">
        <w:rPr>
          <w:rStyle w:val="Emphasis"/>
          <w:rFonts w:asciiTheme="majorBidi" w:hAnsiTheme="majorBidi" w:cstheme="majorBidi"/>
          <w:i w:val="0"/>
          <w:iCs w:val="0"/>
          <w:color w:val="000000" w:themeColor="text1"/>
          <w:sz w:val="28"/>
          <w:szCs w:val="28"/>
        </w:rPr>
        <w:t xml:space="preserve">: </w:t>
      </w:r>
      <w:r w:rsidR="003C0FC5" w:rsidRPr="00660E84">
        <w:rPr>
          <w:rStyle w:val="Emphasis"/>
          <w:rFonts w:asciiTheme="majorBidi" w:hAnsiTheme="majorBidi" w:cstheme="majorBidi"/>
          <w:i w:val="0"/>
          <w:iCs w:val="0"/>
          <w:color w:val="000000" w:themeColor="text1"/>
          <w:sz w:val="28"/>
          <w:szCs w:val="28"/>
        </w:rPr>
        <w:t xml:space="preserve">peripheral smear findings in ALL. </w:t>
      </w:r>
    </w:p>
    <w:p w:rsidR="003C0FC5" w:rsidRPr="00660E84" w:rsidRDefault="003C0FC5" w:rsidP="003F6020">
      <w:pPr>
        <w:pStyle w:val="Default"/>
        <w:spacing w:line="360" w:lineRule="auto"/>
        <w:jc w:val="lowKashida"/>
        <w:rPr>
          <w:rFonts w:asciiTheme="majorBidi" w:hAnsiTheme="majorBidi" w:cstheme="majorBidi"/>
          <w:b/>
          <w:bCs/>
          <w:i/>
          <w:iCs/>
          <w:color w:val="000000" w:themeColor="text1"/>
          <w:sz w:val="28"/>
          <w:szCs w:val="28"/>
        </w:rPr>
      </w:pPr>
      <w:r w:rsidRPr="00660E84">
        <w:rPr>
          <w:rStyle w:val="Emphasis"/>
          <w:rFonts w:asciiTheme="majorBidi" w:hAnsiTheme="majorBidi" w:cstheme="majorBidi"/>
          <w:i w:val="0"/>
          <w:iCs w:val="0"/>
          <w:color w:val="000000" w:themeColor="text1"/>
          <w:sz w:val="28"/>
          <w:szCs w:val="28"/>
        </w:rPr>
        <w:t> </w:t>
      </w:r>
      <w:proofErr w:type="gramStart"/>
      <w:r w:rsidRPr="00660E84">
        <w:rPr>
          <w:rStyle w:val="Emphasis"/>
          <w:rFonts w:asciiTheme="majorBidi" w:hAnsiTheme="majorBidi" w:cstheme="majorBidi"/>
          <w:i w:val="0"/>
          <w:iCs w:val="0"/>
          <w:color w:val="000000" w:themeColor="text1"/>
          <w:sz w:val="28"/>
          <w:szCs w:val="28"/>
        </w:rPr>
        <w:t xml:space="preserve">Large </w:t>
      </w:r>
      <w:proofErr w:type="spellStart"/>
      <w:r w:rsidRPr="00660E84">
        <w:rPr>
          <w:rStyle w:val="Emphasis"/>
          <w:rFonts w:asciiTheme="majorBidi" w:hAnsiTheme="majorBidi" w:cstheme="majorBidi"/>
          <w:i w:val="0"/>
          <w:iCs w:val="0"/>
          <w:color w:val="000000" w:themeColor="text1"/>
          <w:sz w:val="28"/>
          <w:szCs w:val="28"/>
        </w:rPr>
        <w:t>lymphoblasts</w:t>
      </w:r>
      <w:proofErr w:type="spellEnd"/>
      <w:r w:rsidRPr="00660E84">
        <w:rPr>
          <w:rStyle w:val="Emphasis"/>
          <w:rFonts w:asciiTheme="majorBidi" w:hAnsiTheme="majorBidi" w:cstheme="majorBidi"/>
          <w:i w:val="0"/>
          <w:iCs w:val="0"/>
          <w:color w:val="000000" w:themeColor="text1"/>
          <w:sz w:val="28"/>
          <w:szCs w:val="28"/>
        </w:rPr>
        <w:t xml:space="preserve"> with a prominent nucleoli and light blue rim of cytoplasm.</w:t>
      </w:r>
      <w:proofErr w:type="gramEnd"/>
      <w:r w:rsidRPr="00660E84">
        <w:rPr>
          <w:rStyle w:val="Emphasis"/>
          <w:rFonts w:asciiTheme="majorBidi" w:hAnsiTheme="majorBidi" w:cstheme="majorBidi"/>
          <w:i w:val="0"/>
          <w:iCs w:val="0"/>
          <w:color w:val="000000" w:themeColor="text1"/>
          <w:sz w:val="28"/>
          <w:szCs w:val="28"/>
        </w:rPr>
        <w:t xml:space="preserve">  Blast cells have more abundant </w:t>
      </w:r>
      <w:proofErr w:type="spellStart"/>
      <w:r w:rsidRPr="00660E84">
        <w:rPr>
          <w:rStyle w:val="Emphasis"/>
          <w:rFonts w:asciiTheme="majorBidi" w:hAnsiTheme="majorBidi" w:cstheme="majorBidi"/>
          <w:i w:val="0"/>
          <w:iCs w:val="0"/>
          <w:color w:val="000000" w:themeColor="text1"/>
          <w:sz w:val="28"/>
          <w:szCs w:val="28"/>
        </w:rPr>
        <w:t>cytoplastm</w:t>
      </w:r>
      <w:proofErr w:type="spellEnd"/>
      <w:r w:rsidRPr="00660E84">
        <w:rPr>
          <w:rStyle w:val="Emphasis"/>
          <w:rFonts w:asciiTheme="majorBidi" w:hAnsiTheme="majorBidi" w:cstheme="majorBidi"/>
          <w:i w:val="0"/>
          <w:iCs w:val="0"/>
          <w:color w:val="000000" w:themeColor="text1"/>
          <w:sz w:val="28"/>
          <w:szCs w:val="28"/>
        </w:rPr>
        <w:t xml:space="preserve"> and their nucleus is often fissured or indented</w:t>
      </w:r>
      <w:r w:rsidR="00660E84">
        <w:rPr>
          <w:rFonts w:asciiTheme="majorBidi" w:hAnsiTheme="majorBidi" w:cstheme="majorBidi"/>
          <w:color w:val="000000" w:themeColor="text1"/>
          <w:sz w:val="28"/>
          <w:szCs w:val="28"/>
        </w:rPr>
        <w:t xml:space="preserve"> </w:t>
      </w:r>
      <w:r w:rsidR="00660E84" w:rsidRPr="00840F3B">
        <w:rPr>
          <w:rFonts w:asciiTheme="majorBidi" w:hAnsiTheme="majorBidi" w:cstheme="majorBidi"/>
          <w:b/>
          <w:bCs/>
          <w:i/>
          <w:iCs/>
          <w:color w:val="000000" w:themeColor="text1"/>
          <w:sz w:val="28"/>
          <w:szCs w:val="28"/>
        </w:rPr>
        <w:t>(National Cancer Institute</w:t>
      </w:r>
      <w:r w:rsidR="00660E84" w:rsidRPr="00660E84">
        <w:rPr>
          <w:rFonts w:asciiTheme="majorBidi" w:hAnsiTheme="majorBidi" w:cstheme="majorBidi"/>
          <w:b/>
          <w:bCs/>
          <w:i/>
          <w:iCs/>
          <w:color w:val="000000" w:themeColor="text1"/>
          <w:sz w:val="28"/>
          <w:szCs w:val="28"/>
        </w:rPr>
        <w:t>, 2013).</w:t>
      </w:r>
    </w:p>
    <w:p w:rsidR="00886EC2" w:rsidRPr="001B7608" w:rsidRDefault="001B7608" w:rsidP="003F6020">
      <w:pPr>
        <w:pStyle w:val="Default"/>
        <w:spacing w:line="360" w:lineRule="auto"/>
        <w:jc w:val="lowKashida"/>
        <w:rPr>
          <w:rFonts w:asciiTheme="majorBidi" w:hAnsiTheme="majorBidi" w:cstheme="majorBidi"/>
          <w:sz w:val="28"/>
          <w:szCs w:val="28"/>
        </w:rPr>
      </w:pPr>
      <w:r>
        <w:rPr>
          <w:rFonts w:asciiTheme="majorBidi" w:hAnsiTheme="majorBidi" w:cstheme="majorBidi"/>
          <w:b/>
          <w:bCs/>
          <w:sz w:val="28"/>
          <w:szCs w:val="28"/>
        </w:rPr>
        <w:t>1.2</w:t>
      </w:r>
      <w:proofErr w:type="gramStart"/>
      <w:r>
        <w:rPr>
          <w:rFonts w:asciiTheme="majorBidi" w:hAnsiTheme="majorBidi" w:cstheme="majorBidi"/>
          <w:b/>
          <w:bCs/>
          <w:sz w:val="28"/>
          <w:szCs w:val="28"/>
        </w:rPr>
        <w:t>.</w:t>
      </w:r>
      <w:r w:rsidR="00886EC2" w:rsidRPr="001B7608">
        <w:rPr>
          <w:rFonts w:asciiTheme="majorBidi" w:hAnsiTheme="majorBidi" w:cstheme="majorBidi"/>
          <w:b/>
          <w:bCs/>
          <w:sz w:val="28"/>
          <w:szCs w:val="28"/>
        </w:rPr>
        <w:t>Blood</w:t>
      </w:r>
      <w:proofErr w:type="gramEnd"/>
      <w:r w:rsidR="00886EC2" w:rsidRPr="001B7608">
        <w:rPr>
          <w:rFonts w:asciiTheme="majorBidi" w:hAnsiTheme="majorBidi" w:cstheme="majorBidi"/>
          <w:b/>
          <w:bCs/>
          <w:sz w:val="28"/>
          <w:szCs w:val="28"/>
        </w:rPr>
        <w:t xml:space="preserve"> chemistry and coagulation tests:</w:t>
      </w:r>
    </w:p>
    <w:p w:rsidR="003F6020" w:rsidRDefault="00886EC2" w:rsidP="003F6020">
      <w:pPr>
        <w:autoSpaceDE w:val="0"/>
        <w:autoSpaceDN w:val="0"/>
        <w:bidi w:val="0"/>
        <w:adjustRightInd w:val="0"/>
        <w:spacing w:after="0" w:line="360" w:lineRule="auto"/>
        <w:jc w:val="lowKashida"/>
        <w:rPr>
          <w:rFonts w:asciiTheme="majorBidi" w:hAnsiTheme="majorBidi" w:cstheme="majorBidi"/>
          <w:sz w:val="28"/>
          <w:szCs w:val="28"/>
        </w:rPr>
      </w:pPr>
      <w:r>
        <w:rPr>
          <w:rFonts w:ascii="Arial" w:hAnsi="Arial" w:cs="Arial"/>
          <w:sz w:val="24"/>
          <w:szCs w:val="24"/>
        </w:rPr>
        <w:t xml:space="preserve">      </w:t>
      </w:r>
      <w:r w:rsidRPr="00886EC2">
        <w:rPr>
          <w:rFonts w:asciiTheme="majorBidi" w:hAnsiTheme="majorBidi" w:cstheme="majorBidi"/>
          <w:sz w:val="28"/>
          <w:szCs w:val="28"/>
        </w:rPr>
        <w:t>Blood chemistry tests measure the amounts of certain chemicals in the blood, but they are not used to diagnose leukemia. In</w:t>
      </w:r>
      <w:r w:rsidR="00E64B90">
        <w:rPr>
          <w:rFonts w:asciiTheme="majorBidi" w:hAnsiTheme="majorBidi" w:cstheme="majorBidi"/>
          <w:sz w:val="28"/>
          <w:szCs w:val="28"/>
        </w:rPr>
        <w:t xml:space="preserve"> </w:t>
      </w:r>
      <w:r w:rsidRPr="00886EC2">
        <w:rPr>
          <w:rFonts w:asciiTheme="majorBidi" w:hAnsiTheme="majorBidi" w:cstheme="majorBidi"/>
          <w:sz w:val="28"/>
          <w:szCs w:val="28"/>
        </w:rPr>
        <w:t>patients already known to have ALL, these tests can help detect liver or kidney problems caused by spreading leukemia cells or the side effects of certain chemotherapy drugs. These tests also help determine if treatment is needed to correct low or high blood levels of certain minerals.</w:t>
      </w:r>
      <w:r w:rsidR="00D2365C">
        <w:rPr>
          <w:rFonts w:asciiTheme="majorBidi" w:hAnsiTheme="majorBidi" w:cstheme="majorBidi"/>
          <w:sz w:val="28"/>
          <w:szCs w:val="28"/>
        </w:rPr>
        <w:t xml:space="preserve"> </w:t>
      </w:r>
      <w:r w:rsidRPr="00886EC2">
        <w:rPr>
          <w:rFonts w:asciiTheme="majorBidi" w:hAnsiTheme="majorBidi" w:cstheme="majorBidi"/>
          <w:sz w:val="28"/>
          <w:szCs w:val="28"/>
        </w:rPr>
        <w:t>Blood coagulation tests may also be done to make sure the blood is clotting properly</w:t>
      </w:r>
      <w:r w:rsidR="00F53728">
        <w:rPr>
          <w:rFonts w:asciiTheme="majorBidi" w:hAnsiTheme="majorBidi" w:cstheme="majorBidi"/>
          <w:sz w:val="28"/>
          <w:szCs w:val="28"/>
        </w:rPr>
        <w:t xml:space="preserve"> </w:t>
      </w:r>
    </w:p>
    <w:p w:rsidR="009062A2" w:rsidRPr="000616C7" w:rsidRDefault="00F53728" w:rsidP="00ED444B">
      <w:pPr>
        <w:autoSpaceDE w:val="0"/>
        <w:autoSpaceDN w:val="0"/>
        <w:bidi w:val="0"/>
        <w:adjustRightInd w:val="0"/>
        <w:spacing w:after="0" w:line="360" w:lineRule="auto"/>
        <w:jc w:val="lowKashida"/>
        <w:rPr>
          <w:rFonts w:asciiTheme="majorBidi" w:hAnsiTheme="majorBidi" w:cstheme="majorBidi"/>
          <w:b/>
          <w:bCs/>
          <w:sz w:val="28"/>
          <w:szCs w:val="28"/>
        </w:rPr>
      </w:pPr>
      <w:r w:rsidRPr="000616C7">
        <w:rPr>
          <w:rFonts w:asciiTheme="majorBidi" w:hAnsiTheme="majorBidi" w:cstheme="majorBidi"/>
          <w:b/>
          <w:bCs/>
          <w:sz w:val="28"/>
          <w:szCs w:val="28"/>
        </w:rPr>
        <w:t>2-</w:t>
      </w:r>
      <w:r w:rsidR="009062A2" w:rsidRPr="000616C7">
        <w:rPr>
          <w:rFonts w:asciiTheme="majorBidi" w:hAnsiTheme="majorBidi" w:cstheme="majorBidi"/>
          <w:b/>
          <w:bCs/>
          <w:sz w:val="28"/>
          <w:szCs w:val="28"/>
        </w:rPr>
        <w:t>Bone marrow investigation:</w:t>
      </w:r>
    </w:p>
    <w:p w:rsidR="001C2598" w:rsidRDefault="00823B63" w:rsidP="00ED3E0C">
      <w:pPr>
        <w:pStyle w:val="Default"/>
        <w:spacing w:line="360" w:lineRule="auto"/>
        <w:jc w:val="lowKashida"/>
        <w:rPr>
          <w:sz w:val="28"/>
          <w:szCs w:val="28"/>
        </w:rPr>
      </w:pPr>
      <w:r w:rsidRPr="00823B63">
        <w:rPr>
          <w:b/>
          <w:bCs/>
          <w:sz w:val="28"/>
          <w:szCs w:val="28"/>
        </w:rPr>
        <w:t xml:space="preserve">   </w:t>
      </w:r>
      <w:r w:rsidRPr="00823B63">
        <w:rPr>
          <w:sz w:val="28"/>
          <w:szCs w:val="28"/>
        </w:rPr>
        <w:t xml:space="preserve">The hallmark of the diagnosis of ALL is the blast cells, relatively undifferentiated cells with diffusely distributed nuclear chromatin, one or more </w:t>
      </w:r>
      <w:proofErr w:type="spellStart"/>
      <w:r w:rsidRPr="00823B63">
        <w:rPr>
          <w:sz w:val="28"/>
          <w:szCs w:val="28"/>
        </w:rPr>
        <w:t>nucleolei</w:t>
      </w:r>
      <w:proofErr w:type="spellEnd"/>
      <w:r w:rsidRPr="00823B63">
        <w:rPr>
          <w:sz w:val="28"/>
          <w:szCs w:val="28"/>
        </w:rPr>
        <w:t xml:space="preserve"> and basophilic cytopl</w:t>
      </w:r>
      <w:r>
        <w:rPr>
          <w:sz w:val="28"/>
          <w:szCs w:val="28"/>
        </w:rPr>
        <w:t xml:space="preserve">asm. </w:t>
      </w:r>
      <w:r w:rsidRPr="00823B63">
        <w:rPr>
          <w:sz w:val="28"/>
          <w:szCs w:val="28"/>
        </w:rPr>
        <w:t>Bone marrow is usually replaced by 80- 100% blasts. Megakaryocytes are usually absent. Leukemia must be suspected when the bone marrow contains more than 5% blasts</w:t>
      </w:r>
      <w:r w:rsidR="001C2598">
        <w:rPr>
          <w:sz w:val="28"/>
          <w:szCs w:val="28"/>
        </w:rPr>
        <w:t xml:space="preserve"> </w:t>
      </w:r>
      <w:r w:rsidRPr="00ED444B">
        <w:rPr>
          <w:b/>
          <w:bCs/>
          <w:i/>
          <w:iCs/>
          <w:sz w:val="28"/>
          <w:szCs w:val="28"/>
        </w:rPr>
        <w:t>(</w:t>
      </w:r>
      <w:proofErr w:type="spellStart"/>
      <w:r w:rsidR="00ED444B" w:rsidRPr="00ED444B">
        <w:rPr>
          <w:b/>
          <w:bCs/>
          <w:i/>
          <w:iCs/>
          <w:sz w:val="28"/>
          <w:szCs w:val="28"/>
        </w:rPr>
        <w:t>Harb</w:t>
      </w:r>
      <w:proofErr w:type="spellEnd"/>
      <w:r w:rsidR="00ED444B" w:rsidRPr="00ED444B">
        <w:rPr>
          <w:b/>
          <w:bCs/>
          <w:i/>
          <w:iCs/>
          <w:sz w:val="28"/>
          <w:szCs w:val="28"/>
        </w:rPr>
        <w:t>, 2010</w:t>
      </w:r>
      <w:r w:rsidRPr="00ED444B">
        <w:rPr>
          <w:b/>
          <w:bCs/>
          <w:i/>
          <w:iCs/>
          <w:sz w:val="28"/>
          <w:szCs w:val="28"/>
        </w:rPr>
        <w:t>).</w:t>
      </w:r>
    </w:p>
    <w:p w:rsidR="00ED3E0C" w:rsidRDefault="00ED3E0C" w:rsidP="00ED444B">
      <w:pPr>
        <w:pStyle w:val="Default"/>
        <w:spacing w:line="360" w:lineRule="auto"/>
        <w:jc w:val="lowKashida"/>
        <w:rPr>
          <w:sz w:val="28"/>
          <w:szCs w:val="28"/>
        </w:rPr>
      </w:pPr>
      <w:r>
        <w:rPr>
          <w:noProof/>
          <w:color w:val="0000FF"/>
        </w:rPr>
        <w:lastRenderedPageBreak/>
        <w:drawing>
          <wp:inline distT="0" distB="0" distL="0" distR="0" wp14:anchorId="1A4826C2" wp14:editId="5D03B239">
            <wp:extent cx="2171700" cy="1295400"/>
            <wp:effectExtent l="76200" t="76200" r="133350" b="133350"/>
            <wp:docPr id="6" name="Picture 6" descr="Image of normal bone marrow aspirat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normal bone marrow aspirat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45372">
        <w:rPr>
          <w:noProof/>
          <w:color w:val="0000FF"/>
        </w:rPr>
        <w:drawing>
          <wp:inline distT="0" distB="0" distL="0" distR="0" wp14:anchorId="79199485" wp14:editId="6563B60A">
            <wp:extent cx="2562225" cy="1333500"/>
            <wp:effectExtent l="76200" t="76200" r="142875" b="133350"/>
            <wp:docPr id="14" name="irc_mi" descr="نتيجة بحث الصور عن ‪bone marrow in acute lymphoblastic leukemi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bone marrow in acute lymphoblastic leukemia‬‏">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2225" cy="133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3E0C" w:rsidRPr="00ED3E0C" w:rsidRDefault="003D4BA4" w:rsidP="007301F2">
      <w:pPr>
        <w:bidi w:val="0"/>
        <w:spacing w:after="0" w:line="360" w:lineRule="auto"/>
        <w:jc w:val="lowKashida"/>
        <w:rPr>
          <w:rFonts w:asciiTheme="majorBidi" w:eastAsia="Times New Roman" w:hAnsiTheme="majorBidi" w:cstheme="majorBidi"/>
          <w:sz w:val="28"/>
          <w:szCs w:val="28"/>
        </w:rPr>
      </w:pPr>
      <w:r w:rsidRPr="00ED3E0C">
        <w:rPr>
          <w:rFonts w:asciiTheme="majorBidi" w:hAnsiTheme="majorBidi" w:cstheme="majorBidi"/>
          <w:b/>
          <w:bCs/>
          <w:sz w:val="28"/>
          <w:szCs w:val="28"/>
        </w:rPr>
        <w:t>Figure (</w:t>
      </w:r>
      <w:r w:rsidR="007301F2">
        <w:rPr>
          <w:rFonts w:asciiTheme="majorBidi" w:hAnsiTheme="majorBidi" w:cstheme="majorBidi"/>
          <w:b/>
          <w:bCs/>
          <w:sz w:val="28"/>
          <w:szCs w:val="28"/>
        </w:rPr>
        <w:t>5</w:t>
      </w:r>
      <w:r w:rsidRPr="00ED3E0C">
        <w:rPr>
          <w:rFonts w:asciiTheme="majorBidi" w:hAnsiTheme="majorBidi" w:cstheme="majorBidi"/>
          <w:b/>
          <w:bCs/>
          <w:sz w:val="28"/>
          <w:szCs w:val="28"/>
        </w:rPr>
        <w:t xml:space="preserve">): </w:t>
      </w:r>
      <w:r w:rsidR="00ED3E0C" w:rsidRPr="00ED3E0C">
        <w:rPr>
          <w:rFonts w:asciiTheme="majorBidi" w:eastAsia="Times New Roman" w:hAnsiTheme="majorBidi" w:cstheme="majorBidi"/>
          <w:sz w:val="28"/>
          <w:szCs w:val="28"/>
        </w:rPr>
        <w:t>Normal marrow aspiration and ALL marrow aspiration</w:t>
      </w:r>
    </w:p>
    <w:p w:rsidR="00915AF6" w:rsidRDefault="00ED3E0C" w:rsidP="00915AF6">
      <w:pPr>
        <w:pStyle w:val="NormalWeb"/>
        <w:bidi w:val="0"/>
        <w:spacing w:line="360" w:lineRule="auto"/>
        <w:jc w:val="lowKashida"/>
        <w:rPr>
          <w:rFonts w:asciiTheme="majorBidi" w:eastAsia="Times New Roman" w:hAnsiTheme="majorBidi" w:cstheme="majorBidi"/>
          <w:sz w:val="28"/>
          <w:szCs w:val="28"/>
        </w:rPr>
      </w:pPr>
      <w:r>
        <w:rPr>
          <w:rFonts w:eastAsia="Times New Roman"/>
        </w:rPr>
        <w:t xml:space="preserve">      </w:t>
      </w:r>
      <w:r w:rsidR="002E6871" w:rsidRPr="00DD5614">
        <w:rPr>
          <w:rFonts w:asciiTheme="majorBidi" w:eastAsia="Times New Roman" w:hAnsiTheme="majorBidi" w:cstheme="majorBidi"/>
          <w:sz w:val="28"/>
          <w:szCs w:val="28"/>
        </w:rPr>
        <w:t>The image on the left shows normal bone marrow cells and a moderate number of lymphocytes (the purple-stained cells) distributed throughout the smear</w:t>
      </w:r>
      <w:r w:rsidR="00545372">
        <w:rPr>
          <w:rFonts w:asciiTheme="majorBidi" w:eastAsia="Times New Roman" w:hAnsiTheme="majorBidi" w:cstheme="majorBidi"/>
          <w:sz w:val="28"/>
          <w:szCs w:val="28"/>
        </w:rPr>
        <w:t xml:space="preserve"> </w:t>
      </w:r>
      <w:r w:rsidR="00545372" w:rsidRPr="00545372">
        <w:rPr>
          <w:b/>
          <w:bCs/>
          <w:i/>
          <w:iCs/>
          <w:sz w:val="28"/>
          <w:szCs w:val="28"/>
        </w:rPr>
        <w:t>(</w:t>
      </w:r>
      <w:proofErr w:type="spellStart"/>
      <w:r w:rsidR="00545372" w:rsidRPr="00545372">
        <w:rPr>
          <w:b/>
          <w:bCs/>
          <w:i/>
          <w:iCs/>
          <w:sz w:val="28"/>
          <w:szCs w:val="28"/>
        </w:rPr>
        <w:t>Kersey</w:t>
      </w:r>
      <w:proofErr w:type="spellEnd"/>
      <w:r w:rsidR="00545372" w:rsidRPr="00545372">
        <w:rPr>
          <w:b/>
          <w:bCs/>
          <w:i/>
          <w:iCs/>
          <w:sz w:val="28"/>
          <w:szCs w:val="28"/>
        </w:rPr>
        <w:t>,</w:t>
      </w:r>
      <w:r w:rsidR="00545372" w:rsidRPr="00545372">
        <w:rPr>
          <w:i/>
          <w:iCs/>
          <w:sz w:val="28"/>
          <w:szCs w:val="28"/>
        </w:rPr>
        <w:t xml:space="preserve"> </w:t>
      </w:r>
      <w:r w:rsidR="00545372" w:rsidRPr="00545372">
        <w:rPr>
          <w:rStyle w:val="Strong"/>
          <w:i/>
          <w:iCs/>
          <w:sz w:val="28"/>
          <w:szCs w:val="28"/>
        </w:rPr>
        <w:t>1997)</w:t>
      </w:r>
      <w:r w:rsidR="002E6871" w:rsidRPr="00545372">
        <w:rPr>
          <w:rFonts w:asciiTheme="majorBidi" w:eastAsia="Times New Roman" w:hAnsiTheme="majorBidi" w:cstheme="majorBidi"/>
          <w:b/>
          <w:bCs/>
          <w:i/>
          <w:iCs/>
          <w:sz w:val="28"/>
          <w:szCs w:val="28"/>
        </w:rPr>
        <w:t>.</w:t>
      </w:r>
      <w:r w:rsidR="002E6871" w:rsidRPr="00DD5614">
        <w:rPr>
          <w:rFonts w:asciiTheme="majorBidi" w:eastAsia="Times New Roman" w:hAnsiTheme="majorBidi" w:cstheme="majorBidi"/>
          <w:sz w:val="28"/>
          <w:szCs w:val="28"/>
        </w:rPr>
        <w:t xml:space="preserve"> In ALL patient, as seen at right, </w:t>
      </w:r>
      <w:proofErr w:type="spellStart"/>
      <w:r w:rsidR="002E6871" w:rsidRPr="00DD5614">
        <w:rPr>
          <w:rFonts w:asciiTheme="majorBidi" w:eastAsia="Times New Roman" w:hAnsiTheme="majorBidi" w:cstheme="majorBidi"/>
          <w:sz w:val="28"/>
          <w:szCs w:val="28"/>
        </w:rPr>
        <w:t>lymphoblasts</w:t>
      </w:r>
      <w:proofErr w:type="spellEnd"/>
      <w:r w:rsidR="002E6871" w:rsidRPr="00DD5614">
        <w:rPr>
          <w:rFonts w:asciiTheme="majorBidi" w:eastAsia="Times New Roman" w:hAnsiTheme="majorBidi" w:cstheme="majorBidi"/>
          <w:sz w:val="28"/>
          <w:szCs w:val="28"/>
        </w:rPr>
        <w:t xml:space="preserve"> and undeveloped lymphocytes dominate and are present at unusually high concentrations</w:t>
      </w:r>
      <w:r>
        <w:rPr>
          <w:rFonts w:asciiTheme="majorBidi" w:eastAsia="Times New Roman" w:hAnsiTheme="majorBidi" w:cstheme="majorBidi"/>
          <w:sz w:val="28"/>
          <w:szCs w:val="28"/>
        </w:rPr>
        <w:t xml:space="preserve"> </w:t>
      </w:r>
      <w:r w:rsidRPr="00B362BF">
        <w:rPr>
          <w:rFonts w:asciiTheme="majorBidi" w:eastAsia="Times New Roman" w:hAnsiTheme="majorBidi" w:cstheme="majorBidi"/>
          <w:b/>
          <w:bCs/>
          <w:i/>
          <w:iCs/>
          <w:sz w:val="28"/>
          <w:szCs w:val="28"/>
        </w:rPr>
        <w:t>(</w:t>
      </w:r>
      <w:proofErr w:type="gramStart"/>
      <w:r w:rsidR="00DD662E" w:rsidRPr="00B12957">
        <w:rPr>
          <w:rFonts w:asciiTheme="majorBidi" w:hAnsiTheme="majorBidi" w:cstheme="majorBidi"/>
          <w:b/>
          <w:bCs/>
          <w:i/>
          <w:iCs/>
          <w:sz w:val="28"/>
          <w:szCs w:val="28"/>
          <w:lang w:val="en"/>
        </w:rPr>
        <w:t>Warren</w:t>
      </w:r>
      <w:r w:rsidR="002E6871" w:rsidRPr="00B12957">
        <w:rPr>
          <w:rFonts w:asciiTheme="majorBidi" w:eastAsia="Times New Roman" w:hAnsiTheme="majorBidi" w:cstheme="majorBidi"/>
          <w:b/>
          <w:bCs/>
          <w:i/>
          <w:iCs/>
          <w:sz w:val="28"/>
          <w:szCs w:val="28"/>
        </w:rPr>
        <w:t xml:space="preserve"> </w:t>
      </w:r>
      <w:r w:rsidR="00B362BF" w:rsidRPr="00B362BF">
        <w:rPr>
          <w:rFonts w:asciiTheme="majorBidi" w:eastAsia="Times New Roman" w:hAnsiTheme="majorBidi" w:cstheme="majorBidi"/>
          <w:b/>
          <w:bCs/>
          <w:i/>
          <w:iCs/>
          <w:sz w:val="28"/>
          <w:szCs w:val="28"/>
        </w:rPr>
        <w:t xml:space="preserve"> et</w:t>
      </w:r>
      <w:proofErr w:type="gramEnd"/>
      <w:r w:rsidR="00B362BF" w:rsidRPr="00B362BF">
        <w:rPr>
          <w:rFonts w:asciiTheme="majorBidi" w:eastAsia="Times New Roman" w:hAnsiTheme="majorBidi" w:cstheme="majorBidi"/>
          <w:b/>
          <w:bCs/>
          <w:i/>
          <w:iCs/>
          <w:sz w:val="28"/>
          <w:szCs w:val="28"/>
        </w:rPr>
        <w:t xml:space="preserve"> al., 2015).</w:t>
      </w:r>
    </w:p>
    <w:p w:rsidR="00823B63" w:rsidRPr="00ED3E0C" w:rsidRDefault="00F53728" w:rsidP="005D4EAE">
      <w:pPr>
        <w:pStyle w:val="NormalWeb"/>
        <w:bidi w:val="0"/>
        <w:spacing w:line="360" w:lineRule="auto"/>
        <w:jc w:val="lowKashida"/>
        <w:rPr>
          <w:rFonts w:asciiTheme="majorBidi" w:eastAsia="Times New Roman" w:hAnsiTheme="majorBidi" w:cstheme="majorBidi"/>
          <w:sz w:val="28"/>
          <w:szCs w:val="28"/>
        </w:rPr>
      </w:pPr>
      <w:r w:rsidRPr="00F53728">
        <w:rPr>
          <w:b/>
          <w:bCs/>
          <w:sz w:val="28"/>
          <w:szCs w:val="28"/>
        </w:rPr>
        <w:t>3-</w:t>
      </w:r>
      <w:r w:rsidR="00823B63" w:rsidRPr="00F53728">
        <w:rPr>
          <w:b/>
          <w:bCs/>
          <w:sz w:val="28"/>
          <w:szCs w:val="28"/>
        </w:rPr>
        <w:t>Immunophenotyping</w:t>
      </w:r>
      <w:r w:rsidRPr="00F53728">
        <w:rPr>
          <w:b/>
          <w:bCs/>
        </w:rPr>
        <w:t>:</w:t>
      </w:r>
      <w:r w:rsidR="00823B63" w:rsidRPr="00F53728">
        <w:rPr>
          <w:b/>
          <w:bCs/>
        </w:rPr>
        <w:t xml:space="preserve"> </w:t>
      </w:r>
    </w:p>
    <w:p w:rsidR="00823B63" w:rsidRDefault="00DD5614" w:rsidP="00DD5614">
      <w:pPr>
        <w:pStyle w:val="Default"/>
        <w:spacing w:line="360" w:lineRule="auto"/>
        <w:jc w:val="mediumKashida"/>
        <w:rPr>
          <w:sz w:val="28"/>
          <w:szCs w:val="28"/>
        </w:rPr>
      </w:pPr>
      <w:r>
        <w:rPr>
          <w:sz w:val="28"/>
          <w:szCs w:val="28"/>
        </w:rPr>
        <w:t xml:space="preserve">      </w:t>
      </w:r>
      <w:r w:rsidR="00823B63" w:rsidRPr="00823B63">
        <w:rPr>
          <w:sz w:val="28"/>
          <w:szCs w:val="28"/>
        </w:rPr>
        <w:t>A panel of monoclonal antibodies is used to differentiate ALL from</w:t>
      </w:r>
      <w:r w:rsidR="00823B63">
        <w:rPr>
          <w:sz w:val="28"/>
          <w:szCs w:val="28"/>
        </w:rPr>
        <w:t xml:space="preserve"> acute myel</w:t>
      </w:r>
      <w:r w:rsidR="00A612B6">
        <w:rPr>
          <w:sz w:val="28"/>
          <w:szCs w:val="28"/>
        </w:rPr>
        <w:t>o</w:t>
      </w:r>
      <w:r w:rsidR="00AA08C7">
        <w:rPr>
          <w:sz w:val="28"/>
          <w:szCs w:val="28"/>
        </w:rPr>
        <w:t>id</w:t>
      </w:r>
      <w:r w:rsidR="00A612B6">
        <w:rPr>
          <w:sz w:val="28"/>
          <w:szCs w:val="28"/>
        </w:rPr>
        <w:t xml:space="preserve"> </w:t>
      </w:r>
      <w:proofErr w:type="gramStart"/>
      <w:r w:rsidR="00A612B6">
        <w:rPr>
          <w:sz w:val="28"/>
          <w:szCs w:val="28"/>
        </w:rPr>
        <w:t>leukemia</w:t>
      </w:r>
      <w:r w:rsidR="00823B63">
        <w:rPr>
          <w:sz w:val="28"/>
          <w:szCs w:val="28"/>
        </w:rPr>
        <w:t xml:space="preserve"> </w:t>
      </w:r>
      <w:r w:rsidR="00823B63" w:rsidRPr="00823B63">
        <w:rPr>
          <w:sz w:val="28"/>
          <w:szCs w:val="28"/>
        </w:rPr>
        <w:t xml:space="preserve"> </w:t>
      </w:r>
      <w:r w:rsidR="00A612B6">
        <w:rPr>
          <w:sz w:val="28"/>
          <w:szCs w:val="28"/>
        </w:rPr>
        <w:t>(</w:t>
      </w:r>
      <w:proofErr w:type="gramEnd"/>
      <w:r w:rsidR="00823B63" w:rsidRPr="00823B63">
        <w:rPr>
          <w:sz w:val="28"/>
          <w:szCs w:val="28"/>
        </w:rPr>
        <w:t>AML</w:t>
      </w:r>
      <w:r w:rsidR="00A612B6">
        <w:rPr>
          <w:sz w:val="28"/>
          <w:szCs w:val="28"/>
        </w:rPr>
        <w:t>)</w:t>
      </w:r>
      <w:r w:rsidR="00823B63" w:rsidRPr="00823B63">
        <w:rPr>
          <w:sz w:val="28"/>
          <w:szCs w:val="28"/>
        </w:rPr>
        <w:t xml:space="preserve">. A further panel of B-and T-lineage markers and lymphocyte maturation markers are used to sub classify </w:t>
      </w:r>
      <w:proofErr w:type="gramStart"/>
      <w:r w:rsidR="00823B63" w:rsidRPr="00823B63">
        <w:rPr>
          <w:sz w:val="28"/>
          <w:szCs w:val="28"/>
        </w:rPr>
        <w:t xml:space="preserve">ALL </w:t>
      </w:r>
      <w:r w:rsidR="00823B63">
        <w:rPr>
          <w:sz w:val="28"/>
          <w:szCs w:val="28"/>
        </w:rPr>
        <w:t>.</w:t>
      </w:r>
      <w:proofErr w:type="gramEnd"/>
    </w:p>
    <w:p w:rsidR="00697EFE" w:rsidRDefault="00697EFE" w:rsidP="005F2171">
      <w:pPr>
        <w:pStyle w:val="Default"/>
        <w:spacing w:line="360" w:lineRule="auto"/>
        <w:jc w:val="mediumKashida"/>
        <w:rPr>
          <w:sz w:val="28"/>
          <w:szCs w:val="28"/>
        </w:rPr>
      </w:pPr>
    </w:p>
    <w:p w:rsidR="00823B63" w:rsidRPr="004436EE" w:rsidRDefault="004436EE" w:rsidP="00CE289A">
      <w:pPr>
        <w:pStyle w:val="Default"/>
        <w:spacing w:line="360" w:lineRule="auto"/>
        <w:jc w:val="mediumKashida"/>
        <w:rPr>
          <w:sz w:val="28"/>
          <w:szCs w:val="28"/>
        </w:rPr>
      </w:pPr>
      <w:r w:rsidRPr="00697EFE">
        <w:rPr>
          <w:b/>
          <w:bCs/>
          <w:sz w:val="28"/>
          <w:szCs w:val="28"/>
        </w:rPr>
        <w:t>Table (3):</w:t>
      </w:r>
      <w:r>
        <w:rPr>
          <w:sz w:val="28"/>
          <w:szCs w:val="28"/>
        </w:rPr>
        <w:t xml:space="preserve">  </w:t>
      </w:r>
      <w:r w:rsidRPr="004436EE">
        <w:rPr>
          <w:sz w:val="28"/>
          <w:szCs w:val="28"/>
        </w:rPr>
        <w:t xml:space="preserve">Immunological classification of childhood acute lymphoblastic </w:t>
      </w:r>
      <w:proofErr w:type="spellStart"/>
      <w:r w:rsidRPr="004436EE">
        <w:rPr>
          <w:sz w:val="28"/>
          <w:szCs w:val="28"/>
        </w:rPr>
        <w:t>leukaemia</w:t>
      </w:r>
      <w:proofErr w:type="spellEnd"/>
      <w:r w:rsidRPr="004436EE">
        <w:rPr>
          <w:sz w:val="28"/>
          <w:szCs w:val="28"/>
        </w:rPr>
        <w:t xml:space="preserve"> </w:t>
      </w:r>
      <w:r w:rsidRPr="004436EE">
        <w:rPr>
          <w:b/>
          <w:bCs/>
          <w:i/>
          <w:iCs/>
          <w:sz w:val="28"/>
          <w:szCs w:val="28"/>
        </w:rPr>
        <w:t>(</w:t>
      </w:r>
      <w:proofErr w:type="spellStart"/>
      <w:r w:rsidRPr="004436EE">
        <w:rPr>
          <w:b/>
          <w:bCs/>
          <w:i/>
          <w:iCs/>
          <w:sz w:val="28"/>
          <w:szCs w:val="28"/>
        </w:rPr>
        <w:t>Provan</w:t>
      </w:r>
      <w:proofErr w:type="spellEnd"/>
      <w:r w:rsidRPr="004436EE">
        <w:rPr>
          <w:b/>
          <w:bCs/>
          <w:i/>
          <w:iCs/>
          <w:sz w:val="28"/>
          <w:szCs w:val="28"/>
        </w:rPr>
        <w:t>, et al., 2004)</w:t>
      </w:r>
      <w:r w:rsidR="00CE289A">
        <w:rPr>
          <w:b/>
          <w:bCs/>
          <w:i/>
          <w:iCs/>
          <w:sz w:val="28"/>
          <w:szCs w:val="28"/>
        </w:rPr>
        <w:t>:</w:t>
      </w:r>
    </w:p>
    <w:p w:rsidR="00823B63" w:rsidRPr="00611BCD" w:rsidRDefault="00823B63" w:rsidP="00A612B6">
      <w:pPr>
        <w:pStyle w:val="Default"/>
        <w:spacing w:line="360" w:lineRule="auto"/>
        <w:jc w:val="mediumKashida"/>
        <w:rPr>
          <w:sz w:val="28"/>
          <w:szCs w:val="28"/>
        </w:rPr>
      </w:pPr>
      <w:r w:rsidRPr="00611BCD">
        <w:t xml:space="preserve">   </w:t>
      </w:r>
      <w:r w:rsidRPr="00611BCD">
        <w:rPr>
          <w:sz w:val="28"/>
          <w:szCs w:val="28"/>
        </w:rPr>
        <w:t xml:space="preserve">   </w:t>
      </w:r>
    </w:p>
    <w:tbl>
      <w:tblPr>
        <w:tblStyle w:val="TableGrid"/>
        <w:tblW w:w="8701" w:type="dxa"/>
        <w:tblInd w:w="250" w:type="dxa"/>
        <w:tblLook w:val="04A0" w:firstRow="1" w:lastRow="0" w:firstColumn="1" w:lastColumn="0" w:noHBand="0" w:noVBand="1"/>
      </w:tblPr>
      <w:tblGrid>
        <w:gridCol w:w="4011"/>
        <w:gridCol w:w="4690"/>
      </w:tblGrid>
      <w:tr w:rsidR="00823B63" w:rsidRPr="00611BCD" w:rsidTr="004C795C">
        <w:trPr>
          <w:trHeight w:val="649"/>
        </w:trPr>
        <w:tc>
          <w:tcPr>
            <w:tcW w:w="4011" w:type="dxa"/>
          </w:tcPr>
          <w:p w:rsidR="00823B63" w:rsidRPr="00611BCD" w:rsidRDefault="00823B63" w:rsidP="00823B63">
            <w:pPr>
              <w:pStyle w:val="Default"/>
              <w:spacing w:line="360" w:lineRule="auto"/>
              <w:jc w:val="lowKashida"/>
              <w:rPr>
                <w:b/>
                <w:bCs/>
                <w:sz w:val="28"/>
                <w:szCs w:val="28"/>
              </w:rPr>
            </w:pPr>
            <w:r w:rsidRPr="00611BCD">
              <w:rPr>
                <w:b/>
                <w:bCs/>
                <w:sz w:val="28"/>
                <w:szCs w:val="28"/>
              </w:rPr>
              <w:t>Immunological subgroup</w:t>
            </w:r>
          </w:p>
        </w:tc>
        <w:tc>
          <w:tcPr>
            <w:tcW w:w="4690" w:type="dxa"/>
          </w:tcPr>
          <w:p w:rsidR="00823B63" w:rsidRPr="00611BCD" w:rsidRDefault="00823B63" w:rsidP="00823B63">
            <w:pPr>
              <w:pStyle w:val="Default"/>
              <w:spacing w:line="360" w:lineRule="auto"/>
              <w:jc w:val="lowKashida"/>
              <w:rPr>
                <w:b/>
                <w:bCs/>
                <w:sz w:val="28"/>
                <w:szCs w:val="28"/>
              </w:rPr>
            </w:pPr>
            <w:r w:rsidRPr="00611BCD">
              <w:rPr>
                <w:b/>
                <w:bCs/>
                <w:sz w:val="28"/>
                <w:szCs w:val="28"/>
              </w:rPr>
              <w:t>Immunophenotypic profile</w:t>
            </w:r>
          </w:p>
        </w:tc>
      </w:tr>
      <w:tr w:rsidR="00823B63" w:rsidTr="004C795C">
        <w:trPr>
          <w:trHeight w:val="842"/>
        </w:trPr>
        <w:tc>
          <w:tcPr>
            <w:tcW w:w="4011" w:type="dxa"/>
          </w:tcPr>
          <w:p w:rsidR="00823B63" w:rsidRPr="004436EE" w:rsidRDefault="00823B63" w:rsidP="00823B63">
            <w:pPr>
              <w:pStyle w:val="Default"/>
              <w:spacing w:line="360" w:lineRule="auto"/>
              <w:jc w:val="lowKashida"/>
              <w:rPr>
                <w:sz w:val="28"/>
                <w:szCs w:val="28"/>
              </w:rPr>
            </w:pPr>
            <w:r w:rsidRPr="004436EE">
              <w:rPr>
                <w:sz w:val="28"/>
                <w:szCs w:val="28"/>
              </w:rPr>
              <w:t>B lineage Pro B-ALL</w:t>
            </w:r>
          </w:p>
        </w:tc>
        <w:tc>
          <w:tcPr>
            <w:tcW w:w="4690" w:type="dxa"/>
          </w:tcPr>
          <w:p w:rsidR="00823B63" w:rsidRPr="004436EE" w:rsidRDefault="00FC3FBE" w:rsidP="00823B63">
            <w:pPr>
              <w:pStyle w:val="Default"/>
              <w:spacing w:line="360" w:lineRule="auto"/>
              <w:jc w:val="lowKashida"/>
              <w:rPr>
                <w:sz w:val="28"/>
                <w:szCs w:val="28"/>
              </w:rPr>
            </w:pPr>
            <w:r w:rsidRPr="004436EE">
              <w:rPr>
                <w:sz w:val="28"/>
                <w:szCs w:val="28"/>
              </w:rPr>
              <w:t>HLA-DR+, TdT+, CD19+ (5% children; 11% adults)</w:t>
            </w:r>
          </w:p>
        </w:tc>
      </w:tr>
      <w:tr w:rsidR="00823B63" w:rsidTr="004C795C">
        <w:tc>
          <w:tcPr>
            <w:tcW w:w="4011" w:type="dxa"/>
          </w:tcPr>
          <w:p w:rsidR="00823B63" w:rsidRPr="004436EE" w:rsidRDefault="00FC3FBE" w:rsidP="00823B63">
            <w:pPr>
              <w:pStyle w:val="Default"/>
              <w:spacing w:line="360" w:lineRule="auto"/>
              <w:jc w:val="lowKashida"/>
              <w:rPr>
                <w:sz w:val="28"/>
                <w:szCs w:val="28"/>
              </w:rPr>
            </w:pPr>
            <w:r w:rsidRPr="004436EE">
              <w:rPr>
                <w:sz w:val="28"/>
                <w:szCs w:val="28"/>
              </w:rPr>
              <w:t>Common ALL</w:t>
            </w:r>
          </w:p>
        </w:tc>
        <w:tc>
          <w:tcPr>
            <w:tcW w:w="4690" w:type="dxa"/>
          </w:tcPr>
          <w:p w:rsidR="00823B63" w:rsidRPr="004436EE" w:rsidRDefault="004436EE" w:rsidP="00823B63">
            <w:pPr>
              <w:pStyle w:val="Default"/>
              <w:spacing w:line="360" w:lineRule="auto"/>
              <w:jc w:val="lowKashida"/>
              <w:rPr>
                <w:sz w:val="28"/>
                <w:szCs w:val="28"/>
              </w:rPr>
            </w:pPr>
            <w:r w:rsidRPr="004436EE">
              <w:rPr>
                <w:sz w:val="28"/>
                <w:szCs w:val="28"/>
              </w:rPr>
              <w:t>HLA-DR+,TdT+,CD19+,CD10+ (65% children; 51% adult)</w:t>
            </w:r>
          </w:p>
        </w:tc>
      </w:tr>
      <w:tr w:rsidR="00823B63" w:rsidTr="004C795C">
        <w:tc>
          <w:tcPr>
            <w:tcW w:w="4011" w:type="dxa"/>
          </w:tcPr>
          <w:p w:rsidR="00823B63" w:rsidRPr="004436EE" w:rsidRDefault="00FC3FBE" w:rsidP="00823B63">
            <w:pPr>
              <w:pStyle w:val="Default"/>
              <w:spacing w:line="360" w:lineRule="auto"/>
              <w:jc w:val="lowKashida"/>
              <w:rPr>
                <w:sz w:val="28"/>
                <w:szCs w:val="28"/>
              </w:rPr>
            </w:pPr>
            <w:r w:rsidRPr="004436EE">
              <w:rPr>
                <w:sz w:val="28"/>
                <w:szCs w:val="28"/>
              </w:rPr>
              <w:t>Pre B-ALL</w:t>
            </w:r>
          </w:p>
        </w:tc>
        <w:tc>
          <w:tcPr>
            <w:tcW w:w="4690" w:type="dxa"/>
          </w:tcPr>
          <w:p w:rsidR="00823B63" w:rsidRPr="004436EE" w:rsidRDefault="004436EE" w:rsidP="00823B63">
            <w:pPr>
              <w:pStyle w:val="Default"/>
              <w:spacing w:line="360" w:lineRule="auto"/>
              <w:jc w:val="lowKashida"/>
              <w:rPr>
                <w:sz w:val="28"/>
                <w:szCs w:val="28"/>
              </w:rPr>
            </w:pPr>
            <w:r w:rsidRPr="004436EE">
              <w:rPr>
                <w:sz w:val="28"/>
                <w:szCs w:val="28"/>
              </w:rPr>
              <w:t xml:space="preserve">HLA-DR+,TdT+,CD19+,CD10+,cytoplasmic </w:t>
            </w:r>
            <w:r w:rsidRPr="004436EE">
              <w:rPr>
                <w:sz w:val="28"/>
                <w:szCs w:val="28"/>
              </w:rPr>
              <w:lastRenderedPageBreak/>
              <w:t>IgM+</w:t>
            </w:r>
          </w:p>
        </w:tc>
      </w:tr>
      <w:tr w:rsidR="00823B63" w:rsidTr="004C795C">
        <w:tc>
          <w:tcPr>
            <w:tcW w:w="4011" w:type="dxa"/>
          </w:tcPr>
          <w:p w:rsidR="00823B63" w:rsidRPr="004436EE" w:rsidRDefault="004436EE" w:rsidP="00823B63">
            <w:pPr>
              <w:pStyle w:val="Default"/>
              <w:spacing w:line="360" w:lineRule="auto"/>
              <w:jc w:val="lowKashida"/>
              <w:rPr>
                <w:sz w:val="28"/>
                <w:szCs w:val="28"/>
              </w:rPr>
            </w:pPr>
            <w:r w:rsidRPr="004436EE">
              <w:rPr>
                <w:sz w:val="28"/>
                <w:szCs w:val="28"/>
              </w:rPr>
              <w:lastRenderedPageBreak/>
              <w:t>B-cell ALL</w:t>
            </w:r>
          </w:p>
        </w:tc>
        <w:tc>
          <w:tcPr>
            <w:tcW w:w="4690" w:type="dxa"/>
          </w:tcPr>
          <w:p w:rsidR="00823B63" w:rsidRPr="004436EE" w:rsidRDefault="004436EE" w:rsidP="00823B63">
            <w:pPr>
              <w:pStyle w:val="Default"/>
              <w:spacing w:line="360" w:lineRule="auto"/>
              <w:jc w:val="lowKashida"/>
              <w:rPr>
                <w:sz w:val="28"/>
                <w:szCs w:val="28"/>
              </w:rPr>
            </w:pPr>
            <w:r w:rsidRPr="004436EE">
              <w:rPr>
                <w:sz w:val="28"/>
                <w:szCs w:val="28"/>
              </w:rPr>
              <w:t>HLA-DR+</w:t>
            </w:r>
            <w:proofErr w:type="gramStart"/>
            <w:r w:rsidRPr="004436EE">
              <w:rPr>
                <w:sz w:val="28"/>
                <w:szCs w:val="28"/>
              </w:rPr>
              <w:t>,CD19</w:t>
            </w:r>
            <w:proofErr w:type="gramEnd"/>
            <w:r w:rsidRPr="004436EE">
              <w:rPr>
                <w:sz w:val="28"/>
                <w:szCs w:val="28"/>
              </w:rPr>
              <w:t>+,CD10+,surface IgM+ (3% children; 4% adults).</w:t>
            </w:r>
          </w:p>
        </w:tc>
      </w:tr>
      <w:tr w:rsidR="00823B63" w:rsidTr="004C795C">
        <w:tc>
          <w:tcPr>
            <w:tcW w:w="4011" w:type="dxa"/>
          </w:tcPr>
          <w:p w:rsidR="00823B63" w:rsidRPr="004436EE" w:rsidRDefault="004436EE" w:rsidP="00823B63">
            <w:pPr>
              <w:pStyle w:val="Default"/>
              <w:spacing w:line="360" w:lineRule="auto"/>
              <w:jc w:val="lowKashida"/>
              <w:rPr>
                <w:sz w:val="28"/>
                <w:szCs w:val="28"/>
              </w:rPr>
            </w:pPr>
            <w:r w:rsidRPr="004436EE">
              <w:rPr>
                <w:sz w:val="28"/>
                <w:szCs w:val="28"/>
              </w:rPr>
              <w:t>T lineage Pre-T ALL</w:t>
            </w:r>
          </w:p>
        </w:tc>
        <w:tc>
          <w:tcPr>
            <w:tcW w:w="4690" w:type="dxa"/>
          </w:tcPr>
          <w:p w:rsidR="00823B63" w:rsidRPr="004436EE" w:rsidRDefault="004436EE" w:rsidP="00823B63">
            <w:pPr>
              <w:pStyle w:val="Default"/>
              <w:spacing w:line="360" w:lineRule="auto"/>
              <w:jc w:val="lowKashida"/>
              <w:rPr>
                <w:sz w:val="28"/>
                <w:szCs w:val="28"/>
              </w:rPr>
            </w:pPr>
            <w:r w:rsidRPr="004436EE">
              <w:rPr>
                <w:sz w:val="28"/>
                <w:szCs w:val="28"/>
              </w:rPr>
              <w:t>TdT+,cytoplasmic CD3+,CD7+ (1% children; 7% adults)</w:t>
            </w:r>
          </w:p>
        </w:tc>
      </w:tr>
      <w:tr w:rsidR="00823B63" w:rsidTr="004C795C">
        <w:trPr>
          <w:trHeight w:val="1145"/>
        </w:trPr>
        <w:tc>
          <w:tcPr>
            <w:tcW w:w="4011" w:type="dxa"/>
          </w:tcPr>
          <w:p w:rsidR="00823B63" w:rsidRPr="004436EE" w:rsidRDefault="004436EE" w:rsidP="00823B63">
            <w:pPr>
              <w:pStyle w:val="Default"/>
              <w:spacing w:line="360" w:lineRule="auto"/>
              <w:jc w:val="lowKashida"/>
              <w:rPr>
                <w:sz w:val="28"/>
                <w:szCs w:val="28"/>
              </w:rPr>
            </w:pPr>
            <w:r w:rsidRPr="004436EE">
              <w:rPr>
                <w:sz w:val="28"/>
                <w:szCs w:val="28"/>
              </w:rPr>
              <w:t>T-cell ALL</w:t>
            </w:r>
          </w:p>
        </w:tc>
        <w:tc>
          <w:tcPr>
            <w:tcW w:w="4690" w:type="dxa"/>
          </w:tcPr>
          <w:p w:rsidR="00823B63" w:rsidRPr="004436EE" w:rsidRDefault="004436EE" w:rsidP="00823B63">
            <w:pPr>
              <w:pStyle w:val="Default"/>
              <w:spacing w:line="360" w:lineRule="auto"/>
              <w:jc w:val="lowKashida"/>
              <w:rPr>
                <w:sz w:val="28"/>
                <w:szCs w:val="28"/>
              </w:rPr>
            </w:pPr>
            <w:r w:rsidRPr="004436EE">
              <w:rPr>
                <w:sz w:val="28"/>
                <w:szCs w:val="28"/>
              </w:rPr>
              <w:t>TdT+,cytoplasmic CD3+, CD1a/2/3+,CD5+ (11% children; 17% adults</w:t>
            </w:r>
          </w:p>
        </w:tc>
      </w:tr>
    </w:tbl>
    <w:p w:rsidR="00545372" w:rsidRDefault="00545372" w:rsidP="00F53728">
      <w:pPr>
        <w:pStyle w:val="Default"/>
        <w:spacing w:line="360" w:lineRule="auto"/>
        <w:rPr>
          <w:rFonts w:asciiTheme="majorBidi" w:hAnsiTheme="majorBidi" w:cstheme="majorBidi"/>
          <w:b/>
          <w:bCs/>
          <w:sz w:val="28"/>
          <w:szCs w:val="28"/>
        </w:rPr>
      </w:pPr>
    </w:p>
    <w:p w:rsidR="00DD662E" w:rsidRDefault="00545372" w:rsidP="004C795C">
      <w:pPr>
        <w:pStyle w:val="Default"/>
        <w:spacing w:line="360" w:lineRule="auto"/>
        <w:jc w:val="center"/>
        <w:rPr>
          <w:rFonts w:asciiTheme="majorBidi" w:hAnsiTheme="majorBidi" w:cstheme="majorBidi"/>
          <w:b/>
          <w:bCs/>
          <w:sz w:val="28"/>
          <w:szCs w:val="28"/>
        </w:rPr>
      </w:pPr>
      <w:r>
        <w:rPr>
          <w:rFonts w:ascii="Arial" w:hAnsi="Arial" w:cs="Arial"/>
          <w:noProof/>
          <w:color w:val="2F4A8B"/>
          <w:sz w:val="36"/>
          <w:szCs w:val="36"/>
        </w:rPr>
        <w:drawing>
          <wp:inline distT="0" distB="0" distL="0" distR="0" wp14:anchorId="6A8901B9" wp14:editId="312AA096">
            <wp:extent cx="3457575" cy="857250"/>
            <wp:effectExtent l="76200" t="76200" r="142875" b="133350"/>
            <wp:docPr id="16" name="Picture 16" descr="Figure F1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F1 ">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62529" cy="8584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D662E" w:rsidRPr="003C0FC5" w:rsidRDefault="00545372" w:rsidP="007301F2">
      <w:pPr>
        <w:pStyle w:val="Default"/>
        <w:spacing w:line="360" w:lineRule="auto"/>
        <w:jc w:val="lowKashida"/>
        <w:rPr>
          <w:rFonts w:asciiTheme="majorBidi" w:hAnsiTheme="majorBidi" w:cstheme="majorBidi"/>
          <w:b/>
          <w:bCs/>
          <w:i/>
          <w:iCs/>
          <w:sz w:val="28"/>
          <w:szCs w:val="28"/>
        </w:rPr>
      </w:pPr>
      <w:r>
        <w:rPr>
          <w:rFonts w:asciiTheme="majorBidi" w:hAnsiTheme="majorBidi" w:cstheme="majorBidi"/>
          <w:b/>
          <w:bCs/>
          <w:sz w:val="28"/>
          <w:szCs w:val="28"/>
        </w:rPr>
        <w:t>Figure (</w:t>
      </w:r>
      <w:r w:rsidR="007301F2">
        <w:rPr>
          <w:rFonts w:asciiTheme="majorBidi" w:hAnsiTheme="majorBidi" w:cstheme="majorBidi"/>
          <w:b/>
          <w:bCs/>
          <w:sz w:val="28"/>
          <w:szCs w:val="28"/>
        </w:rPr>
        <w:t>6</w:t>
      </w:r>
      <w:r>
        <w:rPr>
          <w:rFonts w:asciiTheme="majorBidi" w:hAnsiTheme="majorBidi" w:cstheme="majorBidi"/>
          <w:b/>
          <w:bCs/>
          <w:sz w:val="28"/>
          <w:szCs w:val="28"/>
        </w:rPr>
        <w:t>):</w:t>
      </w:r>
      <w:r w:rsidRPr="00545372">
        <w:rPr>
          <w:rStyle w:val="Hyperlink"/>
          <w:rFonts w:ascii="Arial" w:hAnsi="Arial" w:cs="Arial"/>
        </w:rPr>
        <w:t xml:space="preserve"> </w:t>
      </w:r>
      <w:r w:rsidRPr="003C0FC5">
        <w:rPr>
          <w:rStyle w:val="tl-default"/>
          <w:rFonts w:asciiTheme="majorBidi" w:hAnsiTheme="majorBidi" w:cstheme="majorBidi"/>
          <w:sz w:val="28"/>
          <w:szCs w:val="28"/>
        </w:rPr>
        <w:t>Immunophenotyping of early T-cell precursor-ALL bone marrow sample. (A) CD45/SSC dot plot with the blast population highlighted. (B) FSC/SSC plot of the sample. Blasts are positive for cCD3 (C); CD13, CD117 (D); C</w:t>
      </w:r>
      <w:r w:rsidR="003C0FC5" w:rsidRPr="003C0FC5">
        <w:rPr>
          <w:rStyle w:val="tl-default"/>
          <w:rFonts w:asciiTheme="majorBidi" w:hAnsiTheme="majorBidi" w:cstheme="majorBidi"/>
          <w:sz w:val="28"/>
          <w:szCs w:val="28"/>
        </w:rPr>
        <w:t xml:space="preserve">D99 (E) and negative for CD1a </w:t>
      </w:r>
      <w:r w:rsidR="003C0FC5" w:rsidRPr="003C0FC5">
        <w:rPr>
          <w:rStyle w:val="tl-default"/>
          <w:rFonts w:asciiTheme="majorBidi" w:hAnsiTheme="majorBidi" w:cstheme="majorBidi"/>
          <w:b/>
          <w:bCs/>
          <w:i/>
          <w:iCs/>
          <w:sz w:val="28"/>
          <w:szCs w:val="28"/>
        </w:rPr>
        <w:t>(</w:t>
      </w:r>
      <w:proofErr w:type="spellStart"/>
      <w:r w:rsidR="003C0FC5" w:rsidRPr="003C0FC5">
        <w:rPr>
          <w:rStyle w:val="capture-id"/>
          <w:rFonts w:asciiTheme="majorBidi" w:hAnsiTheme="majorBidi" w:cstheme="majorBidi"/>
          <w:b/>
          <w:bCs/>
          <w:i/>
          <w:iCs/>
          <w:sz w:val="28"/>
          <w:szCs w:val="28"/>
        </w:rPr>
        <w:t>Dongjin</w:t>
      </w:r>
      <w:proofErr w:type="spellEnd"/>
      <w:r w:rsidR="003C0FC5" w:rsidRPr="003C0FC5">
        <w:rPr>
          <w:rFonts w:asciiTheme="majorBidi" w:hAnsiTheme="majorBidi" w:cstheme="majorBidi"/>
          <w:b/>
          <w:bCs/>
          <w:sz w:val="28"/>
          <w:szCs w:val="28"/>
        </w:rPr>
        <w:t xml:space="preserve"> </w:t>
      </w:r>
      <w:r w:rsidR="003C0FC5" w:rsidRPr="003C0FC5">
        <w:rPr>
          <w:rFonts w:asciiTheme="majorBidi" w:hAnsiTheme="majorBidi" w:cstheme="majorBidi"/>
          <w:b/>
          <w:bCs/>
          <w:i/>
          <w:iCs/>
          <w:sz w:val="28"/>
          <w:szCs w:val="28"/>
        </w:rPr>
        <w:t>et al., 2016).</w:t>
      </w:r>
    </w:p>
    <w:p w:rsidR="00F53728" w:rsidRDefault="00F53728" w:rsidP="00F53728">
      <w:pPr>
        <w:pStyle w:val="Default"/>
        <w:spacing w:line="360" w:lineRule="auto"/>
        <w:rPr>
          <w:rFonts w:asciiTheme="majorBidi" w:hAnsiTheme="majorBidi" w:cstheme="majorBidi"/>
          <w:b/>
          <w:bCs/>
          <w:sz w:val="28"/>
          <w:szCs w:val="28"/>
        </w:rPr>
      </w:pPr>
      <w:r w:rsidRPr="001C2598">
        <w:rPr>
          <w:rFonts w:asciiTheme="majorBidi" w:hAnsiTheme="majorBidi" w:cstheme="majorBidi"/>
          <w:b/>
          <w:bCs/>
          <w:sz w:val="28"/>
          <w:szCs w:val="28"/>
        </w:rPr>
        <w:t>4-Chromosome testing</w:t>
      </w:r>
      <w:r w:rsidR="00A612B6" w:rsidRPr="001C2598">
        <w:rPr>
          <w:rFonts w:asciiTheme="majorBidi" w:hAnsiTheme="majorBidi" w:cstheme="majorBidi"/>
          <w:b/>
          <w:bCs/>
          <w:sz w:val="28"/>
          <w:szCs w:val="28"/>
        </w:rPr>
        <w:t>:</w:t>
      </w:r>
    </w:p>
    <w:p w:rsidR="00E71424" w:rsidRPr="004C795C" w:rsidRDefault="001C2598" w:rsidP="004C795C">
      <w:pPr>
        <w:pStyle w:val="Default"/>
        <w:spacing w:line="360" w:lineRule="auto"/>
        <w:jc w:val="lowKashida"/>
        <w:rPr>
          <w:rFonts w:asciiTheme="majorBidi" w:hAnsiTheme="majorBidi" w:cstheme="majorBidi"/>
          <w:b/>
          <w:bCs/>
          <w:sz w:val="28"/>
          <w:szCs w:val="28"/>
        </w:rPr>
      </w:pPr>
      <w:r>
        <w:t xml:space="preserve">       </w:t>
      </w:r>
      <w:r w:rsidRPr="001C2598">
        <w:rPr>
          <w:sz w:val="28"/>
          <w:szCs w:val="28"/>
        </w:rPr>
        <w:t>Cytogenetics represents an important step in ALL classification</w:t>
      </w:r>
      <w:r w:rsidRPr="001C2598">
        <w:rPr>
          <w:rFonts w:asciiTheme="majorBidi" w:hAnsiTheme="majorBidi" w:cstheme="majorBidi"/>
          <w:b/>
          <w:bCs/>
          <w:sz w:val="28"/>
          <w:szCs w:val="28"/>
        </w:rPr>
        <w:t>.</w:t>
      </w:r>
      <w:r w:rsidRPr="001C2598">
        <w:rPr>
          <w:sz w:val="28"/>
          <w:szCs w:val="28"/>
        </w:rPr>
        <w:t xml:space="preserve"> </w:t>
      </w:r>
      <w:proofErr w:type="gramStart"/>
      <w:r w:rsidRPr="001C2598">
        <w:rPr>
          <w:sz w:val="28"/>
          <w:szCs w:val="28"/>
        </w:rPr>
        <w:t>fluorescence</w:t>
      </w:r>
      <w:proofErr w:type="gramEnd"/>
      <w:r w:rsidRPr="001C2598">
        <w:rPr>
          <w:sz w:val="28"/>
          <w:szCs w:val="28"/>
        </w:rPr>
        <w:t xml:space="preserve"> in situ hybridization (FISH) can enable the detection and direct visualization of virtually all investigated chromosomal abnormalities in ALL, with a sensitivity of around 99%. Finally, array-comparative genomic hybridization (array-CGH, a-CGH) and single nucleotide polymorphisms (SNP) arrays can permit the identification of cryptic and/or submicroscopic changes in the genome. </w:t>
      </w:r>
      <w:proofErr w:type="spellStart"/>
      <w:r w:rsidRPr="001C2598">
        <w:rPr>
          <w:sz w:val="28"/>
          <w:szCs w:val="28"/>
        </w:rPr>
        <w:t>Karyotypic</w:t>
      </w:r>
      <w:proofErr w:type="spellEnd"/>
      <w:r w:rsidRPr="001C2598">
        <w:rPr>
          <w:sz w:val="28"/>
          <w:szCs w:val="28"/>
        </w:rPr>
        <w:t xml:space="preserve"> changes found in ALL include both numerical and structural alterations which have profound prognostic significance </w:t>
      </w:r>
      <w:proofErr w:type="gramStart"/>
      <w:r w:rsidRPr="001C2598">
        <w:rPr>
          <w:b/>
          <w:bCs/>
          <w:i/>
          <w:iCs/>
          <w:sz w:val="28"/>
          <w:szCs w:val="28"/>
        </w:rPr>
        <w:t xml:space="preserve">( </w:t>
      </w:r>
      <w:proofErr w:type="spellStart"/>
      <w:r w:rsidRPr="001C2598">
        <w:rPr>
          <w:b/>
          <w:bCs/>
          <w:i/>
          <w:iCs/>
          <w:sz w:val="28"/>
          <w:szCs w:val="28"/>
        </w:rPr>
        <w:t>Kolomietz</w:t>
      </w:r>
      <w:proofErr w:type="spellEnd"/>
      <w:proofErr w:type="gramEnd"/>
      <w:r w:rsidRPr="001C2598">
        <w:rPr>
          <w:b/>
          <w:bCs/>
          <w:i/>
          <w:iCs/>
          <w:sz w:val="28"/>
          <w:szCs w:val="28"/>
        </w:rPr>
        <w:t xml:space="preserve"> et al., 2001).</w:t>
      </w:r>
      <w:r w:rsidR="00A612B6" w:rsidRPr="00E71424">
        <w:rPr>
          <w:rFonts w:asciiTheme="majorBidi" w:hAnsiTheme="majorBidi" w:cstheme="majorBidi"/>
          <w:b/>
          <w:bCs/>
          <w:sz w:val="28"/>
          <w:szCs w:val="28"/>
        </w:rPr>
        <w:t>5-Imaging tests</w:t>
      </w:r>
      <w:r w:rsidR="00CE289A">
        <w:rPr>
          <w:rFonts w:asciiTheme="majorBidi" w:hAnsiTheme="majorBidi" w:cstheme="majorBidi"/>
          <w:b/>
          <w:bCs/>
          <w:sz w:val="28"/>
          <w:szCs w:val="28"/>
        </w:rPr>
        <w:t xml:space="preserve"> </w:t>
      </w:r>
      <w:r w:rsidR="00CE289A" w:rsidRPr="00CE289A">
        <w:rPr>
          <w:rFonts w:asciiTheme="majorBidi" w:hAnsiTheme="majorBidi" w:cstheme="majorBidi"/>
          <w:b/>
          <w:bCs/>
          <w:i/>
          <w:iCs/>
          <w:sz w:val="28"/>
          <w:szCs w:val="28"/>
        </w:rPr>
        <w:t>( NCCN, 2017)</w:t>
      </w:r>
      <w:r w:rsidR="00A612B6" w:rsidRPr="00E71424">
        <w:rPr>
          <w:rFonts w:asciiTheme="majorBidi" w:hAnsiTheme="majorBidi" w:cstheme="majorBidi"/>
          <w:b/>
          <w:bCs/>
          <w:sz w:val="28"/>
          <w:szCs w:val="28"/>
        </w:rPr>
        <w:t>:</w:t>
      </w:r>
      <w:r w:rsidR="00E71424">
        <w:rPr>
          <w:rFonts w:asciiTheme="majorBidi" w:hAnsiTheme="majorBidi" w:cstheme="majorBidi"/>
          <w:sz w:val="28"/>
          <w:szCs w:val="28"/>
        </w:rPr>
        <w:t>.</w:t>
      </w:r>
    </w:p>
    <w:p w:rsidR="00542F4A" w:rsidRDefault="00E71424" w:rsidP="00542F4A">
      <w:pPr>
        <w:pStyle w:val="Heading8"/>
        <w:spacing w:before="1" w:line="360" w:lineRule="auto"/>
        <w:ind w:left="0"/>
      </w:pPr>
      <w:r>
        <w:rPr>
          <w:rFonts w:asciiTheme="majorBidi" w:hAnsiTheme="majorBidi" w:cstheme="majorBidi"/>
          <w:sz w:val="28"/>
          <w:szCs w:val="28"/>
        </w:rPr>
        <w:lastRenderedPageBreak/>
        <w:t xml:space="preserve">  </w:t>
      </w:r>
      <w:proofErr w:type="gramStart"/>
      <w:r>
        <w:rPr>
          <w:rFonts w:asciiTheme="majorBidi" w:hAnsiTheme="majorBidi" w:cstheme="majorBidi"/>
          <w:sz w:val="28"/>
          <w:szCs w:val="28"/>
        </w:rPr>
        <w:t>5.</w:t>
      </w:r>
      <w:r w:rsidR="00542F4A">
        <w:rPr>
          <w:rFonts w:asciiTheme="majorBidi" w:hAnsiTheme="majorBidi" w:cstheme="majorBidi"/>
          <w:sz w:val="28"/>
          <w:szCs w:val="28"/>
        </w:rPr>
        <w:t>a</w:t>
      </w:r>
      <w:proofErr w:type="gramEnd"/>
      <w:r>
        <w:rPr>
          <w:rFonts w:asciiTheme="majorBidi" w:hAnsiTheme="majorBidi" w:cstheme="majorBidi"/>
          <w:sz w:val="28"/>
          <w:szCs w:val="28"/>
        </w:rPr>
        <w:t>.</w:t>
      </w:r>
      <w:r w:rsidRPr="00E71424">
        <w:t xml:space="preserve"> </w:t>
      </w:r>
      <w:r>
        <w:t>CT scan:</w:t>
      </w:r>
    </w:p>
    <w:p w:rsidR="00542F4A" w:rsidRPr="00542F4A" w:rsidRDefault="00542F4A" w:rsidP="00542F4A">
      <w:pPr>
        <w:pStyle w:val="Heading8"/>
        <w:spacing w:before="1" w:line="360" w:lineRule="auto"/>
        <w:ind w:left="0"/>
        <w:jc w:val="lowKashida"/>
        <w:rPr>
          <w:b w:val="0"/>
          <w:bCs w:val="0"/>
        </w:rPr>
      </w:pPr>
      <w:r>
        <w:rPr>
          <w:rFonts w:asciiTheme="majorBidi" w:hAnsiTheme="majorBidi" w:cstheme="majorBidi"/>
          <w:b w:val="0"/>
          <w:bCs w:val="0"/>
          <w:sz w:val="28"/>
          <w:szCs w:val="28"/>
        </w:rPr>
        <w:t xml:space="preserve">     A</w:t>
      </w:r>
      <w:r w:rsidR="00E71424" w:rsidRPr="00542F4A">
        <w:rPr>
          <w:rFonts w:asciiTheme="majorBidi" w:hAnsiTheme="majorBidi" w:cstheme="majorBidi"/>
          <w:b w:val="0"/>
          <w:bCs w:val="0"/>
          <w:sz w:val="28"/>
          <w:szCs w:val="28"/>
        </w:rPr>
        <w:t xml:space="preserve">CT scan of the head may be needed if </w:t>
      </w:r>
      <w:proofErr w:type="gramStart"/>
      <w:r w:rsidR="00E71424" w:rsidRPr="00542F4A">
        <w:rPr>
          <w:rFonts w:asciiTheme="majorBidi" w:hAnsiTheme="majorBidi" w:cstheme="majorBidi"/>
          <w:b w:val="0"/>
          <w:bCs w:val="0"/>
          <w:sz w:val="28"/>
          <w:szCs w:val="28"/>
        </w:rPr>
        <w:t>there  are</w:t>
      </w:r>
      <w:proofErr w:type="gramEnd"/>
      <w:r w:rsidR="00E71424" w:rsidRPr="00542F4A">
        <w:rPr>
          <w:rFonts w:asciiTheme="majorBidi" w:hAnsiTheme="majorBidi" w:cstheme="majorBidi"/>
          <w:b w:val="0"/>
          <w:bCs w:val="0"/>
          <w:sz w:val="28"/>
          <w:szCs w:val="28"/>
        </w:rPr>
        <w:t xml:space="preserve"> symptoms that suggest ALL</w:t>
      </w:r>
      <w:r w:rsidR="00E71424" w:rsidRPr="00542F4A">
        <w:rPr>
          <w:rFonts w:asciiTheme="majorBidi" w:hAnsiTheme="majorBidi" w:cstheme="majorBidi"/>
          <w:b w:val="0"/>
          <w:bCs w:val="0"/>
          <w:spacing w:val="-21"/>
          <w:sz w:val="28"/>
          <w:szCs w:val="28"/>
        </w:rPr>
        <w:t xml:space="preserve"> </w:t>
      </w:r>
      <w:r w:rsidR="00E71424" w:rsidRPr="00542F4A">
        <w:rPr>
          <w:rFonts w:asciiTheme="majorBidi" w:hAnsiTheme="majorBidi" w:cstheme="majorBidi"/>
          <w:b w:val="0"/>
          <w:bCs w:val="0"/>
          <w:sz w:val="28"/>
          <w:szCs w:val="28"/>
        </w:rPr>
        <w:t>might</w:t>
      </w:r>
      <w:r w:rsidR="00E71424" w:rsidRPr="00542F4A">
        <w:rPr>
          <w:rFonts w:asciiTheme="majorBidi" w:hAnsiTheme="majorBidi" w:cstheme="majorBidi"/>
          <w:b w:val="0"/>
          <w:bCs w:val="0"/>
          <w:spacing w:val="-15"/>
          <w:sz w:val="28"/>
          <w:szCs w:val="28"/>
        </w:rPr>
        <w:t xml:space="preserve"> </w:t>
      </w:r>
      <w:r w:rsidR="00E71424" w:rsidRPr="00542F4A">
        <w:rPr>
          <w:rFonts w:asciiTheme="majorBidi" w:hAnsiTheme="majorBidi" w:cstheme="majorBidi"/>
          <w:b w:val="0"/>
          <w:bCs w:val="0"/>
          <w:sz w:val="28"/>
          <w:szCs w:val="28"/>
        </w:rPr>
        <w:t>have</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spread</w:t>
      </w:r>
      <w:r w:rsidR="00E71424" w:rsidRPr="00542F4A">
        <w:rPr>
          <w:rFonts w:asciiTheme="majorBidi" w:hAnsiTheme="majorBidi" w:cstheme="majorBidi"/>
          <w:b w:val="0"/>
          <w:bCs w:val="0"/>
          <w:spacing w:val="-15"/>
          <w:sz w:val="28"/>
          <w:szCs w:val="28"/>
        </w:rPr>
        <w:t xml:space="preserve"> </w:t>
      </w:r>
      <w:r w:rsidR="00E71424" w:rsidRPr="00542F4A">
        <w:rPr>
          <w:rFonts w:asciiTheme="majorBidi" w:hAnsiTheme="majorBidi" w:cstheme="majorBidi"/>
          <w:b w:val="0"/>
          <w:bCs w:val="0"/>
          <w:sz w:val="28"/>
          <w:szCs w:val="28"/>
        </w:rPr>
        <w:t>to</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brain</w:t>
      </w:r>
      <w:r w:rsidR="00E71424" w:rsidRPr="00542F4A">
        <w:rPr>
          <w:rFonts w:asciiTheme="majorBidi" w:hAnsiTheme="majorBidi" w:cstheme="majorBidi"/>
          <w:b w:val="0"/>
          <w:bCs w:val="0"/>
          <w:spacing w:val="-15"/>
          <w:sz w:val="28"/>
          <w:szCs w:val="28"/>
        </w:rPr>
        <w:t xml:space="preserve"> </w:t>
      </w:r>
      <w:r w:rsidR="00E71424" w:rsidRPr="00542F4A">
        <w:rPr>
          <w:rFonts w:asciiTheme="majorBidi" w:hAnsiTheme="majorBidi" w:cstheme="majorBidi"/>
          <w:b w:val="0"/>
          <w:bCs w:val="0"/>
          <w:sz w:val="28"/>
          <w:szCs w:val="28"/>
        </w:rPr>
        <w:t>and</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spinal</w:t>
      </w:r>
      <w:r w:rsidR="00E71424" w:rsidRPr="00542F4A">
        <w:rPr>
          <w:rFonts w:asciiTheme="majorBidi" w:hAnsiTheme="majorBidi" w:cstheme="majorBidi"/>
          <w:b w:val="0"/>
          <w:bCs w:val="0"/>
          <w:spacing w:val="-15"/>
          <w:sz w:val="28"/>
          <w:szCs w:val="28"/>
        </w:rPr>
        <w:t xml:space="preserve"> </w:t>
      </w:r>
      <w:r w:rsidR="00E71424" w:rsidRPr="00542F4A">
        <w:rPr>
          <w:rFonts w:asciiTheme="majorBidi" w:hAnsiTheme="majorBidi" w:cstheme="majorBidi"/>
          <w:b w:val="0"/>
          <w:bCs w:val="0"/>
          <w:sz w:val="28"/>
          <w:szCs w:val="28"/>
        </w:rPr>
        <w:t>cord. Occasionally</w:t>
      </w:r>
      <w:r w:rsidR="00E71424" w:rsidRPr="00542F4A">
        <w:rPr>
          <w:rFonts w:asciiTheme="majorBidi" w:hAnsiTheme="majorBidi" w:cstheme="majorBidi"/>
          <w:b w:val="0"/>
          <w:bCs w:val="0"/>
          <w:spacing w:val="-18"/>
          <w:sz w:val="28"/>
          <w:szCs w:val="28"/>
        </w:rPr>
        <w:t xml:space="preserve"> </w:t>
      </w:r>
      <w:r w:rsidR="00E71424" w:rsidRPr="00542F4A">
        <w:rPr>
          <w:rFonts w:asciiTheme="majorBidi" w:hAnsiTheme="majorBidi" w:cstheme="majorBidi"/>
          <w:b w:val="0"/>
          <w:bCs w:val="0"/>
          <w:sz w:val="28"/>
          <w:szCs w:val="28"/>
        </w:rPr>
        <w:t>leukemia</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may</w:t>
      </w:r>
      <w:r w:rsidR="00E71424" w:rsidRPr="00542F4A">
        <w:rPr>
          <w:rFonts w:asciiTheme="majorBidi" w:hAnsiTheme="majorBidi" w:cstheme="majorBidi"/>
          <w:b w:val="0"/>
          <w:bCs w:val="0"/>
          <w:spacing w:val="-18"/>
          <w:sz w:val="28"/>
          <w:szCs w:val="28"/>
        </w:rPr>
        <w:t xml:space="preserve"> </w:t>
      </w:r>
      <w:r w:rsidR="00E71424" w:rsidRPr="00542F4A">
        <w:rPr>
          <w:rFonts w:asciiTheme="majorBidi" w:hAnsiTheme="majorBidi" w:cstheme="majorBidi"/>
          <w:b w:val="0"/>
          <w:bCs w:val="0"/>
          <w:sz w:val="28"/>
          <w:szCs w:val="28"/>
        </w:rPr>
        <w:t>grow</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outside</w:t>
      </w:r>
      <w:r w:rsidR="00E71424" w:rsidRPr="00542F4A">
        <w:rPr>
          <w:rFonts w:asciiTheme="majorBidi" w:hAnsiTheme="majorBidi" w:cstheme="majorBidi"/>
          <w:b w:val="0"/>
          <w:bCs w:val="0"/>
          <w:spacing w:val="-18"/>
          <w:sz w:val="28"/>
          <w:szCs w:val="28"/>
        </w:rPr>
        <w:t xml:space="preserve"> </w:t>
      </w:r>
      <w:r w:rsidR="00E71424" w:rsidRPr="00542F4A">
        <w:rPr>
          <w:rFonts w:asciiTheme="majorBidi" w:hAnsiTheme="majorBidi" w:cstheme="majorBidi"/>
          <w:b w:val="0"/>
          <w:bCs w:val="0"/>
          <w:sz w:val="28"/>
          <w:szCs w:val="28"/>
        </w:rPr>
        <w:t>of</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the</w:t>
      </w:r>
      <w:r w:rsidR="00E71424" w:rsidRPr="00542F4A">
        <w:rPr>
          <w:rFonts w:asciiTheme="majorBidi" w:hAnsiTheme="majorBidi" w:cstheme="majorBidi"/>
          <w:b w:val="0"/>
          <w:bCs w:val="0"/>
          <w:spacing w:val="-18"/>
          <w:sz w:val="28"/>
          <w:szCs w:val="28"/>
        </w:rPr>
        <w:t xml:space="preserve"> </w:t>
      </w:r>
      <w:r w:rsidR="00E71424" w:rsidRPr="00542F4A">
        <w:rPr>
          <w:rFonts w:asciiTheme="majorBidi" w:hAnsiTheme="majorBidi" w:cstheme="majorBidi"/>
          <w:b w:val="0"/>
          <w:bCs w:val="0"/>
          <w:sz w:val="28"/>
          <w:szCs w:val="28"/>
        </w:rPr>
        <w:t>bone marrow</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most</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commonly</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in</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lymph</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nodes.</w:t>
      </w:r>
      <w:r w:rsidR="00E71424" w:rsidRPr="00542F4A">
        <w:rPr>
          <w:rFonts w:asciiTheme="majorBidi" w:hAnsiTheme="majorBidi" w:cstheme="majorBidi"/>
          <w:b w:val="0"/>
          <w:bCs w:val="0"/>
          <w:spacing w:val="-23"/>
          <w:sz w:val="28"/>
          <w:szCs w:val="28"/>
        </w:rPr>
        <w:t xml:space="preserve"> </w:t>
      </w:r>
      <w:r w:rsidR="00E71424" w:rsidRPr="00542F4A">
        <w:rPr>
          <w:rFonts w:asciiTheme="majorBidi" w:hAnsiTheme="majorBidi" w:cstheme="majorBidi"/>
          <w:b w:val="0"/>
          <w:bCs w:val="0"/>
          <w:sz w:val="28"/>
          <w:szCs w:val="28"/>
        </w:rPr>
        <w:t>A</w:t>
      </w:r>
      <w:r w:rsidR="00E71424" w:rsidRPr="00542F4A">
        <w:rPr>
          <w:rFonts w:asciiTheme="majorBidi" w:hAnsiTheme="majorBidi" w:cstheme="majorBidi"/>
          <w:b w:val="0"/>
          <w:bCs w:val="0"/>
          <w:spacing w:val="-24"/>
          <w:sz w:val="28"/>
          <w:szCs w:val="28"/>
        </w:rPr>
        <w:t xml:space="preserve"> </w:t>
      </w:r>
      <w:r w:rsidR="00E71424" w:rsidRPr="00542F4A">
        <w:rPr>
          <w:rFonts w:asciiTheme="majorBidi" w:hAnsiTheme="majorBidi" w:cstheme="majorBidi"/>
          <w:b w:val="0"/>
          <w:bCs w:val="0"/>
          <w:sz w:val="28"/>
          <w:szCs w:val="28"/>
        </w:rPr>
        <w:t>CT</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scan of</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the</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head,</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neck,</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chest,</w:t>
      </w:r>
      <w:r w:rsidR="00E71424" w:rsidRPr="00542F4A">
        <w:rPr>
          <w:rFonts w:asciiTheme="majorBidi" w:hAnsiTheme="majorBidi" w:cstheme="majorBidi"/>
          <w:b w:val="0"/>
          <w:bCs w:val="0"/>
          <w:spacing w:val="-16"/>
          <w:sz w:val="28"/>
          <w:szCs w:val="28"/>
        </w:rPr>
        <w:t xml:space="preserve"> </w:t>
      </w:r>
      <w:r w:rsidR="00E71424" w:rsidRPr="00542F4A">
        <w:rPr>
          <w:rFonts w:asciiTheme="majorBidi" w:hAnsiTheme="majorBidi" w:cstheme="majorBidi"/>
          <w:b w:val="0"/>
          <w:bCs w:val="0"/>
          <w:sz w:val="28"/>
          <w:szCs w:val="28"/>
        </w:rPr>
        <w:t>abdomen,</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and/or</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pelvis</w:t>
      </w:r>
      <w:r w:rsidR="00E71424" w:rsidRPr="00542F4A">
        <w:rPr>
          <w:rFonts w:asciiTheme="majorBidi" w:hAnsiTheme="majorBidi" w:cstheme="majorBidi"/>
          <w:b w:val="0"/>
          <w:bCs w:val="0"/>
          <w:spacing w:val="-17"/>
          <w:sz w:val="28"/>
          <w:szCs w:val="28"/>
        </w:rPr>
        <w:t xml:space="preserve"> </w:t>
      </w:r>
      <w:r w:rsidR="00E71424" w:rsidRPr="00542F4A">
        <w:rPr>
          <w:rFonts w:asciiTheme="majorBidi" w:hAnsiTheme="majorBidi" w:cstheme="majorBidi"/>
          <w:b w:val="0"/>
          <w:bCs w:val="0"/>
          <w:sz w:val="28"/>
          <w:szCs w:val="28"/>
        </w:rPr>
        <w:t>can be</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used</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to</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look</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for</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leukemia</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in</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these</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places.</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In</w:t>
      </w:r>
      <w:r w:rsidR="00E71424" w:rsidRPr="00542F4A">
        <w:rPr>
          <w:rFonts w:asciiTheme="majorBidi" w:hAnsiTheme="majorBidi" w:cstheme="majorBidi"/>
          <w:b w:val="0"/>
          <w:bCs w:val="0"/>
          <w:spacing w:val="-14"/>
          <w:sz w:val="28"/>
          <w:szCs w:val="28"/>
        </w:rPr>
        <w:t xml:space="preserve"> </w:t>
      </w:r>
      <w:r w:rsidR="00E71424" w:rsidRPr="00542F4A">
        <w:rPr>
          <w:rFonts w:asciiTheme="majorBidi" w:hAnsiTheme="majorBidi" w:cstheme="majorBidi"/>
          <w:b w:val="0"/>
          <w:bCs w:val="0"/>
          <w:sz w:val="28"/>
          <w:szCs w:val="28"/>
        </w:rPr>
        <w:t>some cases,</w:t>
      </w:r>
      <w:r w:rsidR="00E71424" w:rsidRPr="00542F4A">
        <w:rPr>
          <w:rFonts w:asciiTheme="majorBidi" w:hAnsiTheme="majorBidi" w:cstheme="majorBidi"/>
          <w:b w:val="0"/>
          <w:bCs w:val="0"/>
          <w:spacing w:val="-13"/>
          <w:sz w:val="28"/>
          <w:szCs w:val="28"/>
        </w:rPr>
        <w:t xml:space="preserve"> </w:t>
      </w:r>
      <w:r w:rsidR="00E71424" w:rsidRPr="00542F4A">
        <w:rPr>
          <w:rFonts w:asciiTheme="majorBidi" w:hAnsiTheme="majorBidi" w:cstheme="majorBidi"/>
          <w:b w:val="0"/>
          <w:bCs w:val="0"/>
          <w:sz w:val="28"/>
          <w:szCs w:val="28"/>
        </w:rPr>
        <w:t>doctor</w:t>
      </w:r>
      <w:r w:rsidR="00E71424" w:rsidRPr="00542F4A">
        <w:rPr>
          <w:rFonts w:asciiTheme="majorBidi" w:hAnsiTheme="majorBidi" w:cstheme="majorBidi"/>
          <w:b w:val="0"/>
          <w:bCs w:val="0"/>
          <w:spacing w:val="-12"/>
          <w:sz w:val="28"/>
          <w:szCs w:val="28"/>
        </w:rPr>
        <w:t xml:space="preserve"> </w:t>
      </w:r>
      <w:r w:rsidR="00E71424" w:rsidRPr="00542F4A">
        <w:rPr>
          <w:rFonts w:asciiTheme="majorBidi" w:hAnsiTheme="majorBidi" w:cstheme="majorBidi"/>
          <w:b w:val="0"/>
          <w:bCs w:val="0"/>
          <w:sz w:val="28"/>
          <w:szCs w:val="28"/>
        </w:rPr>
        <w:t>may</w:t>
      </w:r>
      <w:r w:rsidR="00E71424" w:rsidRPr="00542F4A">
        <w:rPr>
          <w:rFonts w:asciiTheme="majorBidi" w:hAnsiTheme="majorBidi" w:cstheme="majorBidi"/>
          <w:b w:val="0"/>
          <w:bCs w:val="0"/>
          <w:spacing w:val="-13"/>
          <w:sz w:val="28"/>
          <w:szCs w:val="28"/>
        </w:rPr>
        <w:t xml:space="preserve"> </w:t>
      </w:r>
      <w:r w:rsidR="00E71424" w:rsidRPr="00542F4A">
        <w:rPr>
          <w:rFonts w:asciiTheme="majorBidi" w:hAnsiTheme="majorBidi" w:cstheme="majorBidi"/>
          <w:b w:val="0"/>
          <w:bCs w:val="0"/>
          <w:sz w:val="28"/>
          <w:szCs w:val="28"/>
        </w:rPr>
        <w:t>also</w:t>
      </w:r>
      <w:r w:rsidR="00E71424" w:rsidRPr="00542F4A">
        <w:rPr>
          <w:rFonts w:asciiTheme="majorBidi" w:hAnsiTheme="majorBidi" w:cstheme="majorBidi"/>
          <w:b w:val="0"/>
          <w:bCs w:val="0"/>
          <w:spacing w:val="-12"/>
          <w:sz w:val="28"/>
          <w:szCs w:val="28"/>
        </w:rPr>
        <w:t xml:space="preserve"> </w:t>
      </w:r>
      <w:r w:rsidR="00E71424" w:rsidRPr="00542F4A">
        <w:rPr>
          <w:rFonts w:asciiTheme="majorBidi" w:hAnsiTheme="majorBidi" w:cstheme="majorBidi"/>
          <w:b w:val="0"/>
          <w:bCs w:val="0"/>
          <w:sz w:val="28"/>
          <w:szCs w:val="28"/>
        </w:rPr>
        <w:t>perform</w:t>
      </w:r>
      <w:r w:rsidR="00E71424" w:rsidRPr="00542F4A">
        <w:rPr>
          <w:rFonts w:asciiTheme="majorBidi" w:hAnsiTheme="majorBidi" w:cstheme="majorBidi"/>
          <w:b w:val="0"/>
          <w:bCs w:val="0"/>
          <w:spacing w:val="-13"/>
          <w:sz w:val="28"/>
          <w:szCs w:val="28"/>
        </w:rPr>
        <w:t xml:space="preserve"> </w:t>
      </w:r>
      <w:r w:rsidR="00E71424" w:rsidRPr="00542F4A">
        <w:rPr>
          <w:rFonts w:asciiTheme="majorBidi" w:hAnsiTheme="majorBidi" w:cstheme="majorBidi"/>
          <w:b w:val="0"/>
          <w:bCs w:val="0"/>
          <w:sz w:val="28"/>
          <w:szCs w:val="28"/>
        </w:rPr>
        <w:t>a</w:t>
      </w:r>
      <w:r w:rsidR="00E71424" w:rsidRPr="00542F4A">
        <w:rPr>
          <w:rFonts w:asciiTheme="majorBidi" w:hAnsiTheme="majorBidi" w:cstheme="majorBidi"/>
          <w:b w:val="0"/>
          <w:bCs w:val="0"/>
          <w:spacing w:val="-12"/>
          <w:sz w:val="28"/>
          <w:szCs w:val="28"/>
        </w:rPr>
        <w:t xml:space="preserve"> </w:t>
      </w:r>
      <w:r w:rsidR="00E71424" w:rsidRPr="00542F4A">
        <w:rPr>
          <w:rFonts w:asciiTheme="majorBidi" w:hAnsiTheme="majorBidi" w:cstheme="majorBidi"/>
          <w:b w:val="0"/>
          <w:bCs w:val="0"/>
          <w:sz w:val="28"/>
          <w:szCs w:val="28"/>
        </w:rPr>
        <w:t>CT</w:t>
      </w:r>
      <w:r w:rsidR="00E71424" w:rsidRPr="00542F4A">
        <w:rPr>
          <w:rFonts w:asciiTheme="majorBidi" w:hAnsiTheme="majorBidi" w:cstheme="majorBidi"/>
          <w:b w:val="0"/>
          <w:bCs w:val="0"/>
          <w:spacing w:val="-16"/>
          <w:sz w:val="28"/>
          <w:szCs w:val="28"/>
        </w:rPr>
        <w:t xml:space="preserve"> </w:t>
      </w:r>
      <w:r w:rsidR="00E71424" w:rsidRPr="00542F4A">
        <w:rPr>
          <w:rFonts w:asciiTheme="majorBidi" w:hAnsiTheme="majorBidi" w:cstheme="majorBidi"/>
          <w:b w:val="0"/>
          <w:bCs w:val="0"/>
          <w:sz w:val="28"/>
          <w:szCs w:val="28"/>
        </w:rPr>
        <w:t>to</w:t>
      </w:r>
      <w:r w:rsidR="00E71424" w:rsidRPr="00542F4A">
        <w:rPr>
          <w:rFonts w:asciiTheme="majorBidi" w:hAnsiTheme="majorBidi" w:cstheme="majorBidi"/>
          <w:b w:val="0"/>
          <w:bCs w:val="0"/>
          <w:spacing w:val="-12"/>
          <w:sz w:val="28"/>
          <w:szCs w:val="28"/>
        </w:rPr>
        <w:t xml:space="preserve"> </w:t>
      </w:r>
      <w:r w:rsidR="00E71424" w:rsidRPr="00542F4A">
        <w:rPr>
          <w:rFonts w:asciiTheme="majorBidi" w:hAnsiTheme="majorBidi" w:cstheme="majorBidi"/>
          <w:b w:val="0"/>
          <w:bCs w:val="0"/>
          <w:sz w:val="28"/>
          <w:szCs w:val="28"/>
        </w:rPr>
        <w:t>look</w:t>
      </w:r>
      <w:r w:rsidR="00E71424" w:rsidRPr="00542F4A">
        <w:rPr>
          <w:rFonts w:asciiTheme="majorBidi" w:hAnsiTheme="majorBidi" w:cstheme="majorBidi"/>
          <w:b w:val="0"/>
          <w:bCs w:val="0"/>
          <w:spacing w:val="-13"/>
          <w:sz w:val="28"/>
          <w:szCs w:val="28"/>
        </w:rPr>
        <w:t xml:space="preserve"> </w:t>
      </w:r>
      <w:r w:rsidR="00E71424" w:rsidRPr="00542F4A">
        <w:rPr>
          <w:rFonts w:asciiTheme="majorBidi" w:hAnsiTheme="majorBidi" w:cstheme="majorBidi"/>
          <w:b w:val="0"/>
          <w:bCs w:val="0"/>
          <w:sz w:val="28"/>
          <w:szCs w:val="28"/>
        </w:rPr>
        <w:t>for infection.</w:t>
      </w:r>
    </w:p>
    <w:p w:rsidR="00E71424" w:rsidRPr="00053390" w:rsidRDefault="00E71424" w:rsidP="00542F4A">
      <w:pPr>
        <w:pStyle w:val="BodyText"/>
        <w:spacing w:before="42" w:line="360" w:lineRule="auto"/>
        <w:ind w:right="1256"/>
        <w:rPr>
          <w:rFonts w:asciiTheme="majorBidi" w:hAnsiTheme="majorBidi" w:cstheme="majorBidi"/>
          <w:b/>
          <w:sz w:val="28"/>
          <w:szCs w:val="28"/>
        </w:rPr>
      </w:pPr>
      <w:proofErr w:type="gramStart"/>
      <w:r w:rsidRPr="00542F4A">
        <w:rPr>
          <w:rFonts w:asciiTheme="majorBidi" w:hAnsiTheme="majorBidi" w:cstheme="majorBidi"/>
          <w:b/>
          <w:bCs/>
          <w:sz w:val="28"/>
          <w:szCs w:val="28"/>
        </w:rPr>
        <w:t>5.</w:t>
      </w:r>
      <w:r w:rsidR="00542F4A">
        <w:rPr>
          <w:rFonts w:asciiTheme="majorBidi" w:hAnsiTheme="majorBidi" w:cstheme="majorBidi"/>
          <w:b/>
          <w:bCs/>
          <w:sz w:val="28"/>
          <w:szCs w:val="28"/>
        </w:rPr>
        <w:t>b</w:t>
      </w:r>
      <w:proofErr w:type="gramEnd"/>
      <w:r w:rsidRPr="00542F4A">
        <w:rPr>
          <w:rFonts w:asciiTheme="majorBidi" w:hAnsiTheme="majorBidi" w:cstheme="majorBidi"/>
          <w:b/>
          <w:bCs/>
          <w:sz w:val="28"/>
          <w:szCs w:val="28"/>
        </w:rPr>
        <w:t xml:space="preserve">. </w:t>
      </w:r>
      <w:r w:rsidR="00053390" w:rsidRPr="00053390">
        <w:rPr>
          <w:rFonts w:asciiTheme="majorBidi" w:hAnsiTheme="majorBidi" w:cstheme="majorBidi"/>
          <w:b/>
          <w:sz w:val="28"/>
          <w:szCs w:val="28"/>
        </w:rPr>
        <w:t>Magnetic Resonance Imaging</w:t>
      </w:r>
      <w:r w:rsidR="00053390" w:rsidRPr="00053390">
        <w:rPr>
          <w:rFonts w:asciiTheme="majorBidi" w:hAnsiTheme="majorBidi" w:cstheme="majorBidi"/>
          <w:b/>
          <w:sz w:val="28"/>
          <w:szCs w:val="28"/>
        </w:rPr>
        <w:t xml:space="preserve">( </w:t>
      </w:r>
      <w:r w:rsidRPr="00053390">
        <w:rPr>
          <w:rFonts w:asciiTheme="majorBidi" w:hAnsiTheme="majorBidi" w:cstheme="majorBidi"/>
          <w:b/>
          <w:sz w:val="28"/>
          <w:szCs w:val="28"/>
        </w:rPr>
        <w:t>MRI scan</w:t>
      </w:r>
      <w:r w:rsidR="00053390" w:rsidRPr="00053390">
        <w:rPr>
          <w:rFonts w:asciiTheme="majorBidi" w:hAnsiTheme="majorBidi" w:cstheme="majorBidi"/>
          <w:b/>
          <w:sz w:val="28"/>
          <w:szCs w:val="28"/>
        </w:rPr>
        <w:t>)</w:t>
      </w:r>
      <w:r w:rsidR="00542F4A" w:rsidRPr="00053390">
        <w:rPr>
          <w:rFonts w:asciiTheme="majorBidi" w:hAnsiTheme="majorBidi" w:cstheme="majorBidi"/>
          <w:b/>
          <w:sz w:val="28"/>
          <w:szCs w:val="28"/>
        </w:rPr>
        <w:t>:</w:t>
      </w:r>
    </w:p>
    <w:p w:rsidR="004026AD" w:rsidRDefault="00542F4A" w:rsidP="00053390">
      <w:pPr>
        <w:pStyle w:val="BodyText"/>
        <w:spacing w:before="42" w:line="360" w:lineRule="auto"/>
        <w:ind w:left="1" w:right="91" w:hanging="1"/>
        <w:jc w:val="lowKashida"/>
        <w:rPr>
          <w:rFonts w:asciiTheme="majorBidi" w:hAnsiTheme="majorBidi" w:cstheme="majorBidi"/>
          <w:sz w:val="28"/>
          <w:szCs w:val="28"/>
        </w:rPr>
      </w:pPr>
      <w:r>
        <w:rPr>
          <w:rFonts w:asciiTheme="majorBidi" w:hAnsiTheme="majorBidi" w:cstheme="majorBidi"/>
          <w:sz w:val="28"/>
          <w:szCs w:val="28"/>
        </w:rPr>
        <w:t xml:space="preserve">     </w:t>
      </w:r>
      <w:r w:rsidR="00940085">
        <w:rPr>
          <w:rFonts w:asciiTheme="majorBidi" w:hAnsiTheme="majorBidi" w:cstheme="majorBidi"/>
          <w:bCs/>
          <w:sz w:val="28"/>
          <w:szCs w:val="28"/>
        </w:rPr>
        <w:t>M</w:t>
      </w:r>
      <w:r w:rsidR="00E71424" w:rsidRPr="00542F4A">
        <w:rPr>
          <w:rFonts w:asciiTheme="majorBidi" w:hAnsiTheme="majorBidi" w:cstheme="majorBidi"/>
          <w:sz w:val="28"/>
          <w:szCs w:val="28"/>
        </w:rPr>
        <w:t xml:space="preserve">agnetic </w:t>
      </w:r>
      <w:r w:rsidR="00940085">
        <w:rPr>
          <w:rFonts w:asciiTheme="majorBidi" w:hAnsiTheme="majorBidi" w:cstheme="majorBidi"/>
          <w:bCs/>
          <w:sz w:val="28"/>
          <w:szCs w:val="28"/>
        </w:rPr>
        <w:t>R</w:t>
      </w:r>
      <w:r w:rsidR="00E71424" w:rsidRPr="00542F4A">
        <w:rPr>
          <w:rFonts w:asciiTheme="majorBidi" w:hAnsiTheme="majorBidi" w:cstheme="majorBidi"/>
          <w:sz w:val="28"/>
          <w:szCs w:val="28"/>
        </w:rPr>
        <w:t xml:space="preserve">esonance </w:t>
      </w:r>
      <w:r w:rsidR="00940085">
        <w:rPr>
          <w:rFonts w:asciiTheme="majorBidi" w:hAnsiTheme="majorBidi" w:cstheme="majorBidi"/>
          <w:bCs/>
          <w:sz w:val="28"/>
          <w:szCs w:val="28"/>
        </w:rPr>
        <w:t>I</w:t>
      </w:r>
      <w:r w:rsidR="00E71424" w:rsidRPr="00542F4A">
        <w:rPr>
          <w:rFonts w:asciiTheme="majorBidi" w:hAnsiTheme="majorBidi" w:cstheme="majorBidi"/>
          <w:sz w:val="28"/>
          <w:szCs w:val="28"/>
        </w:rPr>
        <w:t xml:space="preserve">maging uses radio waves and magnets to take pictures of the inside the </w:t>
      </w:r>
      <w:r w:rsidR="00E71424" w:rsidRPr="00542F4A">
        <w:rPr>
          <w:rFonts w:asciiTheme="majorBidi" w:hAnsiTheme="majorBidi" w:cstheme="majorBidi"/>
          <w:spacing w:val="-4"/>
          <w:sz w:val="28"/>
          <w:szCs w:val="28"/>
        </w:rPr>
        <w:t xml:space="preserve">body. </w:t>
      </w:r>
      <w:r w:rsidR="00E71424" w:rsidRPr="00542F4A">
        <w:rPr>
          <w:rFonts w:asciiTheme="majorBidi" w:hAnsiTheme="majorBidi" w:cstheme="majorBidi"/>
          <w:sz w:val="28"/>
          <w:szCs w:val="28"/>
        </w:rPr>
        <w:t>MRI scans create clear pictures of soft tissues and bones. MRI scans are also very helpful for</w:t>
      </w:r>
      <w:r w:rsidR="00E71424" w:rsidRPr="00542F4A">
        <w:rPr>
          <w:rFonts w:asciiTheme="majorBidi" w:hAnsiTheme="majorBidi" w:cstheme="majorBidi"/>
          <w:spacing w:val="-14"/>
          <w:sz w:val="28"/>
          <w:szCs w:val="28"/>
        </w:rPr>
        <w:t xml:space="preserve"> </w:t>
      </w:r>
      <w:r w:rsidR="00E71424" w:rsidRPr="00542F4A">
        <w:rPr>
          <w:rFonts w:asciiTheme="majorBidi" w:hAnsiTheme="majorBidi" w:cstheme="majorBidi"/>
          <w:sz w:val="28"/>
          <w:szCs w:val="28"/>
        </w:rPr>
        <w:t>looking</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at</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the</w:t>
      </w:r>
      <w:r w:rsidR="00E71424" w:rsidRPr="00542F4A">
        <w:rPr>
          <w:rFonts w:asciiTheme="majorBidi" w:hAnsiTheme="majorBidi" w:cstheme="majorBidi"/>
          <w:spacing w:val="-14"/>
          <w:sz w:val="28"/>
          <w:szCs w:val="28"/>
        </w:rPr>
        <w:t xml:space="preserve"> </w:t>
      </w:r>
      <w:r w:rsidR="00E71424" w:rsidRPr="00542F4A">
        <w:rPr>
          <w:rFonts w:asciiTheme="majorBidi" w:hAnsiTheme="majorBidi" w:cstheme="majorBidi"/>
          <w:sz w:val="28"/>
          <w:szCs w:val="28"/>
        </w:rPr>
        <w:t>brain</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and</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spinal</w:t>
      </w:r>
      <w:r w:rsidR="00E71424" w:rsidRPr="00542F4A">
        <w:rPr>
          <w:rFonts w:asciiTheme="majorBidi" w:hAnsiTheme="majorBidi" w:cstheme="majorBidi"/>
          <w:spacing w:val="-14"/>
          <w:sz w:val="28"/>
          <w:szCs w:val="28"/>
        </w:rPr>
        <w:t xml:space="preserve"> </w:t>
      </w:r>
      <w:r w:rsidR="00E71424" w:rsidRPr="00542F4A">
        <w:rPr>
          <w:rFonts w:asciiTheme="majorBidi" w:hAnsiTheme="majorBidi" w:cstheme="majorBidi"/>
          <w:sz w:val="28"/>
          <w:szCs w:val="28"/>
        </w:rPr>
        <w:t>cord.</w:t>
      </w:r>
      <w:r w:rsidR="00E71424" w:rsidRPr="00542F4A">
        <w:rPr>
          <w:rFonts w:asciiTheme="majorBidi" w:hAnsiTheme="majorBidi" w:cstheme="majorBidi"/>
          <w:spacing w:val="-22"/>
          <w:sz w:val="28"/>
          <w:szCs w:val="28"/>
        </w:rPr>
        <w:t xml:space="preserve"> </w:t>
      </w:r>
      <w:r w:rsidR="00E71424" w:rsidRPr="00542F4A">
        <w:rPr>
          <w:rFonts w:asciiTheme="majorBidi" w:hAnsiTheme="majorBidi" w:cstheme="majorBidi"/>
          <w:sz w:val="28"/>
          <w:szCs w:val="28"/>
        </w:rPr>
        <w:t>An</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MRI</w:t>
      </w:r>
      <w:r w:rsidR="00E71424" w:rsidRPr="00542F4A">
        <w:rPr>
          <w:rFonts w:asciiTheme="majorBidi" w:hAnsiTheme="majorBidi" w:cstheme="majorBidi"/>
          <w:spacing w:val="-14"/>
          <w:sz w:val="28"/>
          <w:szCs w:val="28"/>
        </w:rPr>
        <w:t xml:space="preserve"> </w:t>
      </w:r>
      <w:proofErr w:type="gramStart"/>
      <w:r w:rsidR="00E71424" w:rsidRPr="00542F4A">
        <w:rPr>
          <w:rFonts w:asciiTheme="majorBidi" w:hAnsiTheme="majorBidi" w:cstheme="majorBidi"/>
          <w:sz w:val="28"/>
          <w:szCs w:val="28"/>
        </w:rPr>
        <w:t>scan</w:t>
      </w:r>
      <w:r>
        <w:rPr>
          <w:rFonts w:asciiTheme="majorBidi" w:hAnsiTheme="majorBidi" w:cstheme="majorBidi"/>
          <w:sz w:val="28"/>
          <w:szCs w:val="28"/>
        </w:rPr>
        <w:t xml:space="preserve">  </w:t>
      </w:r>
      <w:r w:rsidR="00E71424" w:rsidRPr="00542F4A">
        <w:rPr>
          <w:rFonts w:asciiTheme="majorBidi" w:hAnsiTheme="majorBidi" w:cstheme="majorBidi"/>
          <w:sz w:val="28"/>
          <w:szCs w:val="28"/>
        </w:rPr>
        <w:t>of</w:t>
      </w:r>
      <w:proofErr w:type="gramEnd"/>
      <w:r w:rsidR="00E71424" w:rsidRPr="00542F4A">
        <w:rPr>
          <w:rFonts w:asciiTheme="majorBidi" w:hAnsiTheme="majorBidi" w:cstheme="majorBidi"/>
          <w:spacing w:val="-14"/>
          <w:sz w:val="28"/>
          <w:szCs w:val="28"/>
        </w:rPr>
        <w:t xml:space="preserve"> </w:t>
      </w:r>
      <w:r w:rsidR="00915AF6">
        <w:rPr>
          <w:rFonts w:asciiTheme="majorBidi" w:hAnsiTheme="majorBidi" w:cstheme="majorBidi"/>
          <w:sz w:val="28"/>
          <w:szCs w:val="28"/>
        </w:rPr>
        <w:t xml:space="preserve">the  </w:t>
      </w:r>
      <w:r w:rsidR="00E71424" w:rsidRPr="00542F4A">
        <w:rPr>
          <w:rFonts w:asciiTheme="majorBidi" w:hAnsiTheme="majorBidi" w:cstheme="majorBidi"/>
          <w:sz w:val="28"/>
          <w:szCs w:val="28"/>
        </w:rPr>
        <w:t>head</w:t>
      </w:r>
      <w:r w:rsidR="00E71424" w:rsidRPr="00542F4A">
        <w:rPr>
          <w:rFonts w:asciiTheme="majorBidi" w:hAnsiTheme="majorBidi" w:cstheme="majorBidi"/>
          <w:spacing w:val="-14"/>
          <w:sz w:val="28"/>
          <w:szCs w:val="28"/>
        </w:rPr>
        <w:t xml:space="preserve"> </w:t>
      </w:r>
      <w:r w:rsidR="00E71424" w:rsidRPr="00542F4A">
        <w:rPr>
          <w:rFonts w:asciiTheme="majorBidi" w:hAnsiTheme="majorBidi" w:cstheme="majorBidi"/>
          <w:sz w:val="28"/>
          <w:szCs w:val="28"/>
        </w:rPr>
        <w:t>and/or</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spinal</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cord</w:t>
      </w:r>
      <w:r w:rsidR="00E71424" w:rsidRPr="00542F4A">
        <w:rPr>
          <w:rFonts w:asciiTheme="majorBidi" w:hAnsiTheme="majorBidi" w:cstheme="majorBidi"/>
          <w:spacing w:val="-14"/>
          <w:sz w:val="28"/>
          <w:szCs w:val="28"/>
        </w:rPr>
        <w:t xml:space="preserve"> </w:t>
      </w:r>
      <w:r w:rsidR="00E71424" w:rsidRPr="00542F4A">
        <w:rPr>
          <w:rFonts w:asciiTheme="majorBidi" w:hAnsiTheme="majorBidi" w:cstheme="majorBidi"/>
          <w:sz w:val="28"/>
          <w:szCs w:val="28"/>
        </w:rPr>
        <w:t>should</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be</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done</w:t>
      </w:r>
      <w:r w:rsidR="00E71424" w:rsidRPr="00542F4A">
        <w:rPr>
          <w:rFonts w:asciiTheme="majorBidi" w:hAnsiTheme="majorBidi" w:cstheme="majorBidi"/>
          <w:spacing w:val="-14"/>
          <w:sz w:val="28"/>
          <w:szCs w:val="28"/>
        </w:rPr>
        <w:t xml:space="preserve"> </w:t>
      </w:r>
      <w:r w:rsidR="00E71424" w:rsidRPr="00542F4A">
        <w:rPr>
          <w:rFonts w:asciiTheme="majorBidi" w:hAnsiTheme="majorBidi" w:cstheme="majorBidi"/>
          <w:sz w:val="28"/>
          <w:szCs w:val="28"/>
        </w:rPr>
        <w:t>if</w:t>
      </w:r>
      <w:r w:rsidR="00E71424" w:rsidRPr="00542F4A">
        <w:rPr>
          <w:rFonts w:asciiTheme="majorBidi" w:hAnsiTheme="majorBidi" w:cstheme="majorBidi"/>
          <w:spacing w:val="-13"/>
          <w:sz w:val="28"/>
          <w:szCs w:val="28"/>
        </w:rPr>
        <w:t xml:space="preserve"> </w:t>
      </w:r>
      <w:r w:rsidR="00E71424" w:rsidRPr="00542F4A">
        <w:rPr>
          <w:rFonts w:asciiTheme="majorBidi" w:hAnsiTheme="majorBidi" w:cstheme="majorBidi"/>
          <w:sz w:val="28"/>
          <w:szCs w:val="28"/>
        </w:rPr>
        <w:t xml:space="preserve">you </w:t>
      </w:r>
      <w:r w:rsidR="00915AF6">
        <w:rPr>
          <w:rFonts w:asciiTheme="majorBidi" w:hAnsiTheme="majorBidi" w:cstheme="majorBidi"/>
          <w:sz w:val="28"/>
          <w:szCs w:val="28"/>
        </w:rPr>
        <w:t xml:space="preserve">there are </w:t>
      </w:r>
      <w:r w:rsidR="00E71424" w:rsidRPr="00542F4A">
        <w:rPr>
          <w:rFonts w:asciiTheme="majorBidi" w:hAnsiTheme="majorBidi" w:cstheme="majorBidi"/>
          <w:spacing w:val="-16"/>
          <w:sz w:val="28"/>
          <w:szCs w:val="28"/>
        </w:rPr>
        <w:t xml:space="preserve"> </w:t>
      </w:r>
      <w:r w:rsidR="00E71424" w:rsidRPr="00542F4A">
        <w:rPr>
          <w:rFonts w:asciiTheme="majorBidi" w:hAnsiTheme="majorBidi" w:cstheme="majorBidi"/>
          <w:sz w:val="28"/>
          <w:szCs w:val="28"/>
        </w:rPr>
        <w:t>symptoms</w:t>
      </w:r>
      <w:r w:rsidR="00E71424" w:rsidRPr="00542F4A">
        <w:rPr>
          <w:rFonts w:asciiTheme="majorBidi" w:hAnsiTheme="majorBidi" w:cstheme="majorBidi"/>
          <w:spacing w:val="-16"/>
          <w:sz w:val="28"/>
          <w:szCs w:val="28"/>
        </w:rPr>
        <w:t xml:space="preserve"> </w:t>
      </w:r>
      <w:r w:rsidR="00E71424" w:rsidRPr="00542F4A">
        <w:rPr>
          <w:rFonts w:asciiTheme="majorBidi" w:hAnsiTheme="majorBidi" w:cstheme="majorBidi"/>
          <w:sz w:val="28"/>
          <w:szCs w:val="28"/>
        </w:rPr>
        <w:t>that</w:t>
      </w:r>
      <w:r w:rsidR="00E71424" w:rsidRPr="00542F4A">
        <w:rPr>
          <w:rFonts w:asciiTheme="majorBidi" w:hAnsiTheme="majorBidi" w:cstheme="majorBidi"/>
          <w:spacing w:val="-16"/>
          <w:sz w:val="28"/>
          <w:szCs w:val="28"/>
        </w:rPr>
        <w:t xml:space="preserve"> </w:t>
      </w:r>
      <w:r w:rsidR="00E71424" w:rsidRPr="00542F4A">
        <w:rPr>
          <w:rFonts w:asciiTheme="majorBidi" w:hAnsiTheme="majorBidi" w:cstheme="majorBidi"/>
          <w:sz w:val="28"/>
          <w:szCs w:val="28"/>
        </w:rPr>
        <w:t>suggest</w:t>
      </w:r>
      <w:r w:rsidR="00E71424" w:rsidRPr="00542F4A">
        <w:rPr>
          <w:rFonts w:asciiTheme="majorBidi" w:hAnsiTheme="majorBidi" w:cstheme="majorBidi"/>
          <w:spacing w:val="-24"/>
          <w:sz w:val="28"/>
          <w:szCs w:val="28"/>
        </w:rPr>
        <w:t xml:space="preserve"> </w:t>
      </w:r>
      <w:r w:rsidR="00E71424" w:rsidRPr="00542F4A">
        <w:rPr>
          <w:rFonts w:asciiTheme="majorBidi" w:hAnsiTheme="majorBidi" w:cstheme="majorBidi"/>
          <w:sz w:val="28"/>
          <w:szCs w:val="28"/>
        </w:rPr>
        <w:t>ALL</w:t>
      </w:r>
      <w:r w:rsidR="00E71424" w:rsidRPr="00542F4A">
        <w:rPr>
          <w:rFonts w:asciiTheme="majorBidi" w:hAnsiTheme="majorBidi" w:cstheme="majorBidi"/>
          <w:spacing w:val="-22"/>
          <w:sz w:val="28"/>
          <w:szCs w:val="28"/>
        </w:rPr>
        <w:t xml:space="preserve"> </w:t>
      </w:r>
      <w:r w:rsidR="00E71424" w:rsidRPr="00542F4A">
        <w:rPr>
          <w:rFonts w:asciiTheme="majorBidi" w:hAnsiTheme="majorBidi" w:cstheme="majorBidi"/>
          <w:sz w:val="28"/>
          <w:szCs w:val="28"/>
        </w:rPr>
        <w:t>might</w:t>
      </w:r>
      <w:r w:rsidR="00E71424" w:rsidRPr="00542F4A">
        <w:rPr>
          <w:rFonts w:asciiTheme="majorBidi" w:hAnsiTheme="majorBidi" w:cstheme="majorBidi"/>
          <w:spacing w:val="-16"/>
          <w:sz w:val="28"/>
          <w:szCs w:val="28"/>
        </w:rPr>
        <w:t xml:space="preserve"> </w:t>
      </w:r>
      <w:r w:rsidR="00E71424" w:rsidRPr="00542F4A">
        <w:rPr>
          <w:rFonts w:asciiTheme="majorBidi" w:hAnsiTheme="majorBidi" w:cstheme="majorBidi"/>
          <w:sz w:val="28"/>
          <w:szCs w:val="28"/>
        </w:rPr>
        <w:t>have</w:t>
      </w:r>
      <w:r w:rsidR="00E71424" w:rsidRPr="00542F4A">
        <w:rPr>
          <w:rFonts w:asciiTheme="majorBidi" w:hAnsiTheme="majorBidi" w:cstheme="majorBidi"/>
          <w:spacing w:val="-16"/>
          <w:sz w:val="28"/>
          <w:szCs w:val="28"/>
        </w:rPr>
        <w:t xml:space="preserve"> </w:t>
      </w:r>
      <w:r w:rsidR="00E71424" w:rsidRPr="00542F4A">
        <w:rPr>
          <w:rFonts w:asciiTheme="majorBidi" w:hAnsiTheme="majorBidi" w:cstheme="majorBidi"/>
          <w:sz w:val="28"/>
          <w:szCs w:val="28"/>
        </w:rPr>
        <w:t xml:space="preserve">spread to </w:t>
      </w:r>
      <w:r w:rsidR="00915AF6">
        <w:rPr>
          <w:rFonts w:asciiTheme="majorBidi" w:hAnsiTheme="majorBidi" w:cstheme="majorBidi"/>
          <w:sz w:val="28"/>
          <w:szCs w:val="28"/>
        </w:rPr>
        <w:t xml:space="preserve">the </w:t>
      </w:r>
      <w:r w:rsidR="00E71424" w:rsidRPr="00542F4A">
        <w:rPr>
          <w:rFonts w:asciiTheme="majorBidi" w:hAnsiTheme="majorBidi" w:cstheme="majorBidi"/>
          <w:sz w:val="28"/>
          <w:szCs w:val="28"/>
        </w:rPr>
        <w:t xml:space="preserve"> brain and spinal</w:t>
      </w:r>
      <w:r w:rsidR="00E71424" w:rsidRPr="00542F4A">
        <w:rPr>
          <w:rFonts w:asciiTheme="majorBidi" w:hAnsiTheme="majorBidi" w:cstheme="majorBidi"/>
          <w:spacing w:val="-18"/>
          <w:sz w:val="28"/>
          <w:szCs w:val="28"/>
        </w:rPr>
        <w:t xml:space="preserve"> </w:t>
      </w:r>
      <w:r w:rsidR="00E71424" w:rsidRPr="00542F4A">
        <w:rPr>
          <w:rFonts w:asciiTheme="majorBidi" w:hAnsiTheme="majorBidi" w:cstheme="majorBidi"/>
          <w:sz w:val="28"/>
          <w:szCs w:val="28"/>
        </w:rPr>
        <w:t>cord</w:t>
      </w:r>
      <w:r>
        <w:rPr>
          <w:rFonts w:asciiTheme="majorBidi" w:hAnsiTheme="majorBidi" w:cstheme="majorBidi"/>
          <w:sz w:val="28"/>
          <w:szCs w:val="28"/>
        </w:rPr>
        <w:t>.</w:t>
      </w:r>
    </w:p>
    <w:p w:rsidR="004026AD" w:rsidRPr="00933C01" w:rsidRDefault="004026AD" w:rsidP="00053390">
      <w:pPr>
        <w:pStyle w:val="BodyText"/>
        <w:spacing w:before="42" w:line="360" w:lineRule="auto"/>
        <w:ind w:right="91"/>
        <w:jc w:val="lowKashida"/>
        <w:rPr>
          <w:rFonts w:asciiTheme="majorBidi" w:hAnsiTheme="majorBidi" w:cstheme="majorBidi"/>
          <w:b/>
          <w:bCs/>
          <w:sz w:val="28"/>
          <w:szCs w:val="28"/>
        </w:rPr>
      </w:pPr>
      <w:proofErr w:type="gramStart"/>
      <w:r w:rsidRPr="00933C01">
        <w:rPr>
          <w:rFonts w:asciiTheme="majorBidi" w:hAnsiTheme="majorBidi" w:cstheme="majorBidi"/>
          <w:b/>
          <w:bCs/>
          <w:sz w:val="28"/>
          <w:szCs w:val="28"/>
        </w:rPr>
        <w:t>5.c</w:t>
      </w:r>
      <w:proofErr w:type="gramEnd"/>
      <w:r w:rsidRPr="00933C01">
        <w:rPr>
          <w:rFonts w:asciiTheme="majorBidi" w:hAnsiTheme="majorBidi" w:cstheme="majorBidi"/>
          <w:b/>
          <w:bCs/>
          <w:sz w:val="28"/>
          <w:szCs w:val="28"/>
        </w:rPr>
        <w:t xml:space="preserve">. </w:t>
      </w:r>
      <w:r w:rsidR="00053390" w:rsidRPr="00053390">
        <w:rPr>
          <w:rFonts w:asciiTheme="majorBidi" w:hAnsiTheme="majorBidi" w:cstheme="majorBidi"/>
          <w:b/>
          <w:bCs/>
          <w:sz w:val="28"/>
          <w:szCs w:val="28"/>
        </w:rPr>
        <w:t>P</w:t>
      </w:r>
      <w:r w:rsidR="00053390" w:rsidRPr="00053390">
        <w:rPr>
          <w:rFonts w:asciiTheme="majorBidi" w:hAnsiTheme="majorBidi" w:cstheme="majorBidi"/>
          <w:b/>
          <w:bCs/>
          <w:sz w:val="28"/>
          <w:szCs w:val="28"/>
        </w:rPr>
        <w:t xml:space="preserve">ositron </w:t>
      </w:r>
      <w:r w:rsidR="00053390" w:rsidRPr="00053390">
        <w:rPr>
          <w:rFonts w:asciiTheme="majorBidi" w:hAnsiTheme="majorBidi" w:cstheme="majorBidi"/>
          <w:b/>
          <w:bCs/>
          <w:sz w:val="28"/>
          <w:szCs w:val="28"/>
        </w:rPr>
        <w:t>E</w:t>
      </w:r>
      <w:r w:rsidR="00053390" w:rsidRPr="00053390">
        <w:rPr>
          <w:rFonts w:asciiTheme="majorBidi" w:hAnsiTheme="majorBidi" w:cstheme="majorBidi"/>
          <w:b/>
          <w:bCs/>
          <w:sz w:val="28"/>
          <w:szCs w:val="28"/>
        </w:rPr>
        <w:t xml:space="preserve">mission </w:t>
      </w:r>
      <w:r w:rsidR="00053390" w:rsidRPr="00053390">
        <w:rPr>
          <w:rFonts w:asciiTheme="majorBidi" w:hAnsiTheme="majorBidi" w:cstheme="majorBidi"/>
          <w:b/>
          <w:bCs/>
          <w:sz w:val="28"/>
          <w:szCs w:val="28"/>
        </w:rPr>
        <w:t>T</w:t>
      </w:r>
      <w:r w:rsidR="00053390" w:rsidRPr="00053390">
        <w:rPr>
          <w:rFonts w:asciiTheme="majorBidi" w:hAnsiTheme="majorBidi" w:cstheme="majorBidi"/>
          <w:b/>
          <w:bCs/>
          <w:sz w:val="28"/>
          <w:szCs w:val="28"/>
        </w:rPr>
        <w:t>omography</w:t>
      </w:r>
      <w:r w:rsidR="00053390" w:rsidRPr="00053390">
        <w:rPr>
          <w:rFonts w:asciiTheme="majorBidi" w:hAnsiTheme="majorBidi" w:cstheme="majorBidi"/>
          <w:b/>
          <w:bCs/>
          <w:sz w:val="28"/>
          <w:szCs w:val="28"/>
        </w:rPr>
        <w:t xml:space="preserve">( </w:t>
      </w:r>
      <w:r w:rsidRPr="00053390">
        <w:rPr>
          <w:rFonts w:asciiTheme="majorBidi" w:hAnsiTheme="majorBidi" w:cstheme="majorBidi"/>
          <w:b/>
          <w:bCs/>
          <w:sz w:val="28"/>
          <w:szCs w:val="28"/>
        </w:rPr>
        <w:t>PET scan</w:t>
      </w:r>
      <w:r w:rsidR="00053390" w:rsidRPr="00053390">
        <w:rPr>
          <w:rFonts w:asciiTheme="majorBidi" w:hAnsiTheme="majorBidi" w:cstheme="majorBidi"/>
          <w:b/>
          <w:bCs/>
          <w:sz w:val="28"/>
          <w:szCs w:val="28"/>
        </w:rPr>
        <w:t>)</w:t>
      </w:r>
      <w:r w:rsidRPr="00053390">
        <w:rPr>
          <w:rFonts w:asciiTheme="majorBidi" w:hAnsiTheme="majorBidi" w:cstheme="majorBidi"/>
          <w:b/>
          <w:bCs/>
          <w:sz w:val="28"/>
          <w:szCs w:val="28"/>
        </w:rPr>
        <w:t>:</w:t>
      </w:r>
    </w:p>
    <w:p w:rsidR="004026AD" w:rsidRDefault="004026AD" w:rsidP="004026AD">
      <w:pPr>
        <w:pStyle w:val="BodyText"/>
        <w:spacing w:before="43" w:line="360" w:lineRule="auto"/>
        <w:ind w:right="145"/>
        <w:jc w:val="lowKashida"/>
        <w:rPr>
          <w:rFonts w:asciiTheme="majorBidi" w:hAnsiTheme="majorBidi" w:cstheme="majorBidi"/>
          <w:sz w:val="28"/>
          <w:szCs w:val="28"/>
        </w:rPr>
      </w:pPr>
      <w:r w:rsidRPr="004026AD">
        <w:rPr>
          <w:sz w:val="28"/>
          <w:szCs w:val="28"/>
        </w:rPr>
        <w:t xml:space="preserve">    </w:t>
      </w:r>
      <w:r w:rsidRPr="004026AD">
        <w:rPr>
          <w:rFonts w:asciiTheme="majorBidi" w:hAnsiTheme="majorBidi" w:cstheme="majorBidi"/>
          <w:sz w:val="28"/>
          <w:szCs w:val="28"/>
        </w:rPr>
        <w:t xml:space="preserve">PET (positron emission tomography) shows how </w:t>
      </w:r>
      <w:proofErr w:type="gramStart"/>
      <w:r>
        <w:rPr>
          <w:rFonts w:asciiTheme="majorBidi" w:hAnsiTheme="majorBidi" w:cstheme="majorBidi"/>
          <w:sz w:val="28"/>
          <w:szCs w:val="28"/>
        </w:rPr>
        <w:t xml:space="preserve">the </w:t>
      </w:r>
      <w:r w:rsidRPr="004026AD">
        <w:rPr>
          <w:rFonts w:asciiTheme="majorBidi" w:hAnsiTheme="majorBidi" w:cstheme="majorBidi"/>
          <w:sz w:val="28"/>
          <w:szCs w:val="28"/>
        </w:rPr>
        <w:t xml:space="preserve"> cells</w:t>
      </w:r>
      <w:proofErr w:type="gramEnd"/>
      <w:r w:rsidRPr="004026AD">
        <w:rPr>
          <w:rFonts w:asciiTheme="majorBidi" w:hAnsiTheme="majorBidi" w:cstheme="majorBidi"/>
          <w:sz w:val="28"/>
          <w:szCs w:val="28"/>
        </w:rPr>
        <w:t xml:space="preserve"> are using a simple form of sugar. For a PET scan, a sugar radiotracer will first be injected into </w:t>
      </w:r>
      <w:proofErr w:type="gramStart"/>
      <w:r>
        <w:rPr>
          <w:rFonts w:asciiTheme="majorBidi" w:hAnsiTheme="majorBidi" w:cstheme="majorBidi"/>
          <w:sz w:val="28"/>
          <w:szCs w:val="28"/>
        </w:rPr>
        <w:t xml:space="preserve">the </w:t>
      </w:r>
      <w:r w:rsidRPr="004026AD">
        <w:rPr>
          <w:rFonts w:asciiTheme="majorBidi" w:hAnsiTheme="majorBidi" w:cstheme="majorBidi"/>
          <w:sz w:val="28"/>
          <w:szCs w:val="28"/>
        </w:rPr>
        <w:t xml:space="preserve"> </w:t>
      </w:r>
      <w:r w:rsidRPr="004026AD">
        <w:rPr>
          <w:rFonts w:asciiTheme="majorBidi" w:hAnsiTheme="majorBidi" w:cstheme="majorBidi"/>
          <w:spacing w:val="-4"/>
          <w:sz w:val="28"/>
          <w:szCs w:val="28"/>
        </w:rPr>
        <w:t>body</w:t>
      </w:r>
      <w:proofErr w:type="gramEnd"/>
      <w:r w:rsidRPr="004026AD">
        <w:rPr>
          <w:rFonts w:asciiTheme="majorBidi" w:hAnsiTheme="majorBidi" w:cstheme="majorBidi"/>
          <w:spacing w:val="-4"/>
          <w:sz w:val="28"/>
          <w:szCs w:val="28"/>
        </w:rPr>
        <w:t xml:space="preserve">. </w:t>
      </w:r>
      <w:r w:rsidRPr="004026AD">
        <w:rPr>
          <w:rFonts w:asciiTheme="majorBidi" w:hAnsiTheme="majorBidi" w:cstheme="majorBidi"/>
          <w:sz w:val="28"/>
          <w:szCs w:val="28"/>
        </w:rPr>
        <w:t>The radiotracer is detected by a special camera during the scan. Any cells that use sugar</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more</w:t>
      </w:r>
      <w:r w:rsidRPr="004026AD">
        <w:rPr>
          <w:rFonts w:asciiTheme="majorBidi" w:hAnsiTheme="majorBidi" w:cstheme="majorBidi"/>
          <w:spacing w:val="-15"/>
          <w:sz w:val="28"/>
          <w:szCs w:val="28"/>
        </w:rPr>
        <w:t xml:space="preserve"> </w:t>
      </w:r>
      <w:r w:rsidRPr="004026AD">
        <w:rPr>
          <w:rFonts w:asciiTheme="majorBidi" w:hAnsiTheme="majorBidi" w:cstheme="majorBidi"/>
          <w:spacing w:val="-3"/>
          <w:sz w:val="28"/>
          <w:szCs w:val="28"/>
        </w:rPr>
        <w:t>quickly,</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including</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normal</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cells</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(such</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as those</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within</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the</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brain)</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and</w:t>
      </w:r>
      <w:r w:rsidRPr="004026AD">
        <w:rPr>
          <w:rFonts w:asciiTheme="majorBidi" w:hAnsiTheme="majorBidi" w:cstheme="majorBidi"/>
          <w:spacing w:val="-15"/>
          <w:sz w:val="28"/>
          <w:szCs w:val="28"/>
        </w:rPr>
        <w:t xml:space="preserve"> </w:t>
      </w:r>
      <w:r w:rsidRPr="004026AD">
        <w:rPr>
          <w:rFonts w:asciiTheme="majorBidi" w:hAnsiTheme="majorBidi" w:cstheme="majorBidi"/>
          <w:sz w:val="28"/>
          <w:szCs w:val="28"/>
        </w:rPr>
        <w:t>abnormal</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cells</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(such</w:t>
      </w:r>
      <w:r w:rsidRPr="004026AD">
        <w:rPr>
          <w:rFonts w:asciiTheme="majorBidi" w:hAnsiTheme="majorBidi" w:cstheme="majorBidi"/>
          <w:spacing w:val="-14"/>
          <w:sz w:val="28"/>
          <w:szCs w:val="28"/>
        </w:rPr>
        <w:t xml:space="preserve"> </w:t>
      </w:r>
      <w:r w:rsidRPr="004026AD">
        <w:rPr>
          <w:rFonts w:asciiTheme="majorBidi" w:hAnsiTheme="majorBidi" w:cstheme="majorBidi"/>
          <w:sz w:val="28"/>
          <w:szCs w:val="28"/>
        </w:rPr>
        <w:t>as leukemia),</w:t>
      </w:r>
      <w:r w:rsidRPr="004026AD">
        <w:rPr>
          <w:rFonts w:asciiTheme="majorBidi" w:hAnsiTheme="majorBidi" w:cstheme="majorBidi"/>
          <w:spacing w:val="-17"/>
          <w:sz w:val="28"/>
          <w:szCs w:val="28"/>
        </w:rPr>
        <w:t xml:space="preserve"> </w:t>
      </w:r>
      <w:r w:rsidRPr="004026AD">
        <w:rPr>
          <w:rFonts w:asciiTheme="majorBidi" w:hAnsiTheme="majorBidi" w:cstheme="majorBidi"/>
          <w:sz w:val="28"/>
          <w:szCs w:val="28"/>
        </w:rPr>
        <w:t>can</w:t>
      </w:r>
      <w:r w:rsidRPr="004026AD">
        <w:rPr>
          <w:rFonts w:asciiTheme="majorBidi" w:hAnsiTheme="majorBidi" w:cstheme="majorBidi"/>
          <w:spacing w:val="-17"/>
          <w:sz w:val="28"/>
          <w:szCs w:val="28"/>
        </w:rPr>
        <w:t xml:space="preserve"> </w:t>
      </w:r>
      <w:r w:rsidRPr="004026AD">
        <w:rPr>
          <w:rFonts w:asciiTheme="majorBidi" w:hAnsiTheme="majorBidi" w:cstheme="majorBidi"/>
          <w:sz w:val="28"/>
          <w:szCs w:val="28"/>
        </w:rPr>
        <w:t>be</w:t>
      </w:r>
      <w:r w:rsidRPr="004026AD">
        <w:rPr>
          <w:rFonts w:asciiTheme="majorBidi" w:hAnsiTheme="majorBidi" w:cstheme="majorBidi"/>
          <w:spacing w:val="-16"/>
          <w:sz w:val="28"/>
          <w:szCs w:val="28"/>
        </w:rPr>
        <w:t xml:space="preserve"> </w:t>
      </w:r>
      <w:r w:rsidRPr="004026AD">
        <w:rPr>
          <w:rFonts w:asciiTheme="majorBidi" w:hAnsiTheme="majorBidi" w:cstheme="majorBidi"/>
          <w:sz w:val="28"/>
          <w:szCs w:val="28"/>
        </w:rPr>
        <w:t>detected</w:t>
      </w:r>
      <w:r w:rsidRPr="004026AD">
        <w:rPr>
          <w:rFonts w:asciiTheme="majorBidi" w:hAnsiTheme="majorBidi" w:cstheme="majorBidi"/>
          <w:spacing w:val="-17"/>
          <w:sz w:val="28"/>
          <w:szCs w:val="28"/>
        </w:rPr>
        <w:t xml:space="preserve"> </w:t>
      </w:r>
      <w:r w:rsidRPr="004026AD">
        <w:rPr>
          <w:rFonts w:asciiTheme="majorBidi" w:hAnsiTheme="majorBidi" w:cstheme="majorBidi"/>
          <w:sz w:val="28"/>
          <w:szCs w:val="28"/>
        </w:rPr>
        <w:t>by</w:t>
      </w:r>
      <w:r w:rsidRPr="004026AD">
        <w:rPr>
          <w:rFonts w:asciiTheme="majorBidi" w:hAnsiTheme="majorBidi" w:cstheme="majorBidi"/>
          <w:spacing w:val="-16"/>
          <w:sz w:val="28"/>
          <w:szCs w:val="28"/>
        </w:rPr>
        <w:t xml:space="preserve"> </w:t>
      </w:r>
      <w:r w:rsidRPr="004026AD">
        <w:rPr>
          <w:rFonts w:asciiTheme="majorBidi" w:hAnsiTheme="majorBidi" w:cstheme="majorBidi"/>
          <w:sz w:val="28"/>
          <w:szCs w:val="28"/>
        </w:rPr>
        <w:t>this</w:t>
      </w:r>
      <w:r w:rsidRPr="004026AD">
        <w:rPr>
          <w:rFonts w:asciiTheme="majorBidi" w:hAnsiTheme="majorBidi" w:cstheme="majorBidi"/>
          <w:spacing w:val="-17"/>
          <w:sz w:val="28"/>
          <w:szCs w:val="28"/>
        </w:rPr>
        <w:t xml:space="preserve"> </w:t>
      </w:r>
      <w:r w:rsidRPr="004026AD">
        <w:rPr>
          <w:rFonts w:asciiTheme="majorBidi" w:hAnsiTheme="majorBidi" w:cstheme="majorBidi"/>
          <w:sz w:val="28"/>
          <w:szCs w:val="28"/>
        </w:rPr>
        <w:t>scan.</w:t>
      </w:r>
      <w:r w:rsidRPr="004026AD">
        <w:rPr>
          <w:rFonts w:asciiTheme="majorBidi" w:hAnsiTheme="majorBidi" w:cstheme="majorBidi"/>
          <w:spacing w:val="-16"/>
          <w:sz w:val="28"/>
          <w:szCs w:val="28"/>
        </w:rPr>
        <w:t xml:space="preserve"> </w:t>
      </w:r>
      <w:r w:rsidRPr="004026AD">
        <w:rPr>
          <w:rFonts w:asciiTheme="majorBidi" w:hAnsiTheme="majorBidi" w:cstheme="majorBidi"/>
          <w:sz w:val="28"/>
          <w:szCs w:val="28"/>
        </w:rPr>
        <w:t>PET</w:t>
      </w:r>
      <w:r w:rsidRPr="004026AD">
        <w:rPr>
          <w:rFonts w:asciiTheme="majorBidi" w:hAnsiTheme="majorBidi" w:cstheme="majorBidi"/>
          <w:spacing w:val="-20"/>
          <w:sz w:val="28"/>
          <w:szCs w:val="28"/>
        </w:rPr>
        <w:t xml:space="preserve"> </w:t>
      </w:r>
      <w:r w:rsidRPr="004026AD">
        <w:rPr>
          <w:rFonts w:asciiTheme="majorBidi" w:hAnsiTheme="majorBidi" w:cstheme="majorBidi"/>
          <w:sz w:val="28"/>
          <w:szCs w:val="28"/>
        </w:rPr>
        <w:t>scans are often combined with a CT scan to help your doctors better understand which areas of the body may be impacted by leukemia. Like standard CT imaging,</w:t>
      </w:r>
      <w:r w:rsidRPr="004026AD">
        <w:rPr>
          <w:rFonts w:asciiTheme="majorBidi" w:hAnsiTheme="majorBidi" w:cstheme="majorBidi"/>
          <w:spacing w:val="-20"/>
          <w:sz w:val="28"/>
          <w:szCs w:val="28"/>
        </w:rPr>
        <w:t xml:space="preserve"> </w:t>
      </w:r>
      <w:r w:rsidRPr="004026AD">
        <w:rPr>
          <w:rFonts w:asciiTheme="majorBidi" w:hAnsiTheme="majorBidi" w:cstheme="majorBidi"/>
          <w:sz w:val="28"/>
          <w:szCs w:val="28"/>
        </w:rPr>
        <w:t>PET/CT</w:t>
      </w:r>
      <w:r w:rsidRPr="004026AD">
        <w:rPr>
          <w:rFonts w:asciiTheme="majorBidi" w:hAnsiTheme="majorBidi" w:cstheme="majorBidi"/>
          <w:spacing w:val="-22"/>
          <w:sz w:val="28"/>
          <w:szCs w:val="28"/>
        </w:rPr>
        <w:t xml:space="preserve"> </w:t>
      </w:r>
      <w:r w:rsidRPr="004026AD">
        <w:rPr>
          <w:rFonts w:asciiTheme="majorBidi" w:hAnsiTheme="majorBidi" w:cstheme="majorBidi"/>
          <w:sz w:val="28"/>
          <w:szCs w:val="28"/>
        </w:rPr>
        <w:t>imaging</w:t>
      </w:r>
      <w:r w:rsidRPr="004026AD">
        <w:rPr>
          <w:rFonts w:asciiTheme="majorBidi" w:hAnsiTheme="majorBidi" w:cstheme="majorBidi"/>
          <w:spacing w:val="-19"/>
          <w:sz w:val="28"/>
          <w:szCs w:val="28"/>
        </w:rPr>
        <w:t xml:space="preserve"> </w:t>
      </w:r>
      <w:r w:rsidRPr="004026AD">
        <w:rPr>
          <w:rFonts w:asciiTheme="majorBidi" w:hAnsiTheme="majorBidi" w:cstheme="majorBidi"/>
          <w:sz w:val="28"/>
          <w:szCs w:val="28"/>
        </w:rPr>
        <w:t>is</w:t>
      </w:r>
      <w:r w:rsidRPr="004026AD">
        <w:rPr>
          <w:rFonts w:asciiTheme="majorBidi" w:hAnsiTheme="majorBidi" w:cstheme="majorBidi"/>
          <w:spacing w:val="-19"/>
          <w:sz w:val="28"/>
          <w:szCs w:val="28"/>
        </w:rPr>
        <w:t xml:space="preserve"> </w:t>
      </w:r>
      <w:r w:rsidRPr="004026AD">
        <w:rPr>
          <w:rFonts w:asciiTheme="majorBidi" w:hAnsiTheme="majorBidi" w:cstheme="majorBidi"/>
          <w:sz w:val="28"/>
          <w:szCs w:val="28"/>
        </w:rPr>
        <w:t>most</w:t>
      </w:r>
      <w:r w:rsidRPr="004026AD">
        <w:rPr>
          <w:rFonts w:asciiTheme="majorBidi" w:hAnsiTheme="majorBidi" w:cstheme="majorBidi"/>
          <w:spacing w:val="-19"/>
          <w:sz w:val="28"/>
          <w:szCs w:val="28"/>
        </w:rPr>
        <w:t xml:space="preserve"> </w:t>
      </w:r>
      <w:r w:rsidRPr="004026AD">
        <w:rPr>
          <w:rFonts w:asciiTheme="majorBidi" w:hAnsiTheme="majorBidi" w:cstheme="majorBidi"/>
          <w:sz w:val="28"/>
          <w:szCs w:val="28"/>
        </w:rPr>
        <w:t>helpful</w:t>
      </w:r>
      <w:r w:rsidRPr="004026AD">
        <w:rPr>
          <w:rFonts w:asciiTheme="majorBidi" w:hAnsiTheme="majorBidi" w:cstheme="majorBidi"/>
          <w:spacing w:val="-20"/>
          <w:sz w:val="28"/>
          <w:szCs w:val="28"/>
        </w:rPr>
        <w:t xml:space="preserve"> </w:t>
      </w:r>
      <w:r w:rsidRPr="004026AD">
        <w:rPr>
          <w:rFonts w:asciiTheme="majorBidi" w:hAnsiTheme="majorBidi" w:cstheme="majorBidi"/>
          <w:sz w:val="28"/>
          <w:szCs w:val="28"/>
        </w:rPr>
        <w:t>when</w:t>
      </w:r>
      <w:r w:rsidRPr="004026AD">
        <w:rPr>
          <w:rFonts w:asciiTheme="majorBidi" w:hAnsiTheme="majorBidi" w:cstheme="majorBidi"/>
          <w:spacing w:val="-19"/>
          <w:sz w:val="28"/>
          <w:szCs w:val="28"/>
        </w:rPr>
        <w:t xml:space="preserve"> </w:t>
      </w:r>
      <w:proofErr w:type="gramStart"/>
      <w:r w:rsidRPr="004026AD">
        <w:rPr>
          <w:rFonts w:asciiTheme="majorBidi" w:hAnsiTheme="majorBidi" w:cstheme="majorBidi"/>
          <w:sz w:val="28"/>
          <w:szCs w:val="28"/>
        </w:rPr>
        <w:t>doctor</w:t>
      </w:r>
      <w:r>
        <w:rPr>
          <w:rFonts w:asciiTheme="majorBidi" w:hAnsiTheme="majorBidi" w:cstheme="majorBidi"/>
          <w:sz w:val="28"/>
          <w:szCs w:val="28"/>
        </w:rPr>
        <w:t>s</w:t>
      </w:r>
      <w:proofErr w:type="gramEnd"/>
      <w:r w:rsidRPr="004026AD">
        <w:rPr>
          <w:rFonts w:asciiTheme="majorBidi" w:hAnsiTheme="majorBidi" w:cstheme="majorBidi"/>
          <w:sz w:val="28"/>
          <w:szCs w:val="28"/>
        </w:rPr>
        <w:t xml:space="preserve"> suspect there may be leukemia growing in places other than the bone</w:t>
      </w:r>
      <w:r w:rsidRPr="004026AD">
        <w:rPr>
          <w:rFonts w:asciiTheme="majorBidi" w:hAnsiTheme="majorBidi" w:cstheme="majorBidi"/>
          <w:spacing w:val="-26"/>
          <w:sz w:val="28"/>
          <w:szCs w:val="28"/>
        </w:rPr>
        <w:t xml:space="preserve"> </w:t>
      </w:r>
      <w:r w:rsidRPr="004026AD">
        <w:rPr>
          <w:rFonts w:asciiTheme="majorBidi" w:hAnsiTheme="majorBidi" w:cstheme="majorBidi"/>
          <w:sz w:val="28"/>
          <w:szCs w:val="28"/>
        </w:rPr>
        <w:t>marrow.</w:t>
      </w:r>
    </w:p>
    <w:p w:rsidR="004026AD" w:rsidRDefault="004026AD" w:rsidP="004026AD">
      <w:pPr>
        <w:pStyle w:val="Heading8"/>
        <w:spacing w:line="261" w:lineRule="auto"/>
        <w:ind w:left="0" w:right="1031"/>
        <w:rPr>
          <w:rFonts w:asciiTheme="majorBidi" w:hAnsiTheme="majorBidi" w:cstheme="majorBidi"/>
          <w:sz w:val="28"/>
          <w:szCs w:val="28"/>
        </w:rPr>
      </w:pPr>
    </w:p>
    <w:p w:rsidR="00FD466A" w:rsidRDefault="004026AD" w:rsidP="00D3227F">
      <w:pPr>
        <w:pStyle w:val="Heading8"/>
        <w:spacing w:line="360" w:lineRule="auto"/>
        <w:ind w:left="0" w:right="1031"/>
        <w:jc w:val="lowKashida"/>
        <w:rPr>
          <w:rFonts w:asciiTheme="majorBidi" w:hAnsiTheme="majorBidi" w:cstheme="majorBidi"/>
          <w:sz w:val="28"/>
          <w:szCs w:val="28"/>
        </w:rPr>
      </w:pPr>
      <w:proofErr w:type="gramStart"/>
      <w:r w:rsidRPr="00FD466A">
        <w:rPr>
          <w:rFonts w:asciiTheme="majorBidi" w:hAnsiTheme="majorBidi" w:cstheme="majorBidi"/>
          <w:sz w:val="28"/>
          <w:szCs w:val="28"/>
        </w:rPr>
        <w:t>5.d</w:t>
      </w:r>
      <w:proofErr w:type="gramEnd"/>
      <w:r w:rsidRPr="00FD466A">
        <w:rPr>
          <w:rFonts w:asciiTheme="majorBidi" w:hAnsiTheme="majorBidi" w:cstheme="majorBidi"/>
          <w:sz w:val="28"/>
          <w:szCs w:val="28"/>
        </w:rPr>
        <w:t>. Echocardiogram or cardiac nuclear medicine scan</w:t>
      </w:r>
      <w:r w:rsidR="00FD466A">
        <w:rPr>
          <w:rFonts w:asciiTheme="majorBidi" w:hAnsiTheme="majorBidi" w:cstheme="majorBidi"/>
          <w:sz w:val="28"/>
          <w:szCs w:val="28"/>
        </w:rPr>
        <w:t>:</w:t>
      </w:r>
    </w:p>
    <w:p w:rsidR="00AE53AC" w:rsidRDefault="00FD466A" w:rsidP="00940085">
      <w:pPr>
        <w:pStyle w:val="Heading8"/>
        <w:spacing w:line="360" w:lineRule="auto"/>
        <w:ind w:left="0"/>
        <w:jc w:val="lowKashida"/>
        <w:rPr>
          <w:rFonts w:asciiTheme="majorBidi" w:hAnsiTheme="majorBidi" w:cstheme="majorBidi"/>
          <w:b w:val="0"/>
          <w:bCs w:val="0"/>
          <w:spacing w:val="-17"/>
          <w:sz w:val="28"/>
          <w:szCs w:val="28"/>
        </w:rPr>
      </w:pPr>
      <w:r>
        <w:rPr>
          <w:rFonts w:asciiTheme="majorBidi" w:hAnsiTheme="majorBidi" w:cstheme="majorBidi"/>
          <w:sz w:val="28"/>
          <w:szCs w:val="28"/>
        </w:rPr>
        <w:t xml:space="preserve">    </w:t>
      </w:r>
      <w:r w:rsidR="004026AD" w:rsidRPr="00FD466A">
        <w:rPr>
          <w:rFonts w:asciiTheme="majorBidi" w:hAnsiTheme="majorBidi" w:cstheme="majorBidi"/>
          <w:b w:val="0"/>
          <w:bCs w:val="0"/>
          <w:sz w:val="28"/>
          <w:szCs w:val="28"/>
        </w:rPr>
        <w:t>This test is</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used</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to</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check</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how</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well</w:t>
      </w:r>
      <w:r w:rsidR="004026AD" w:rsidRPr="00FD466A">
        <w:rPr>
          <w:rFonts w:asciiTheme="majorBidi" w:hAnsiTheme="majorBidi" w:cstheme="majorBidi"/>
          <w:b w:val="0"/>
          <w:bCs w:val="0"/>
          <w:spacing w:val="-13"/>
          <w:sz w:val="28"/>
          <w:szCs w:val="28"/>
        </w:rPr>
        <w:t xml:space="preserve"> </w:t>
      </w:r>
      <w:r w:rsidRPr="00FD466A">
        <w:rPr>
          <w:rFonts w:asciiTheme="majorBidi" w:hAnsiTheme="majorBidi" w:cstheme="majorBidi"/>
          <w:b w:val="0"/>
          <w:bCs w:val="0"/>
          <w:sz w:val="28"/>
          <w:szCs w:val="28"/>
        </w:rPr>
        <w:t>the</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heart</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is</w:t>
      </w:r>
      <w:r w:rsidR="004026AD" w:rsidRPr="00FD466A">
        <w:rPr>
          <w:rFonts w:asciiTheme="majorBidi" w:hAnsiTheme="majorBidi" w:cstheme="majorBidi"/>
          <w:b w:val="0"/>
          <w:bCs w:val="0"/>
          <w:spacing w:val="-14"/>
          <w:sz w:val="28"/>
          <w:szCs w:val="28"/>
        </w:rPr>
        <w:t xml:space="preserve"> </w:t>
      </w:r>
      <w:r w:rsidRPr="00FD466A">
        <w:rPr>
          <w:rFonts w:asciiTheme="majorBidi" w:hAnsiTheme="majorBidi" w:cstheme="majorBidi"/>
          <w:b w:val="0"/>
          <w:bCs w:val="0"/>
          <w:spacing w:val="-14"/>
          <w:sz w:val="28"/>
          <w:szCs w:val="28"/>
        </w:rPr>
        <w:t xml:space="preserve">by </w:t>
      </w:r>
      <w:r w:rsidR="004026AD" w:rsidRPr="00FD466A">
        <w:rPr>
          <w:rFonts w:asciiTheme="majorBidi" w:hAnsiTheme="majorBidi" w:cstheme="majorBidi"/>
          <w:b w:val="0"/>
          <w:bCs w:val="0"/>
          <w:sz w:val="28"/>
          <w:szCs w:val="28"/>
        </w:rPr>
        <w:t>working</w:t>
      </w:r>
      <w:r w:rsidRPr="00FD466A">
        <w:rPr>
          <w:rFonts w:asciiTheme="majorBidi" w:hAnsiTheme="majorBidi" w:cstheme="majorBidi"/>
          <w:b w:val="0"/>
          <w:bCs w:val="0"/>
          <w:sz w:val="28"/>
          <w:szCs w:val="28"/>
        </w:rPr>
        <w:t xml:space="preserve"> </w:t>
      </w:r>
      <w:r w:rsidR="00933C01">
        <w:rPr>
          <w:rFonts w:asciiTheme="majorBidi" w:hAnsiTheme="majorBidi" w:cstheme="majorBidi"/>
          <w:b w:val="0"/>
          <w:bCs w:val="0"/>
          <w:sz w:val="28"/>
          <w:szCs w:val="28"/>
        </w:rPr>
        <w:t xml:space="preserve">by </w:t>
      </w:r>
      <w:r w:rsidR="00151246" w:rsidRPr="00FD466A">
        <w:rPr>
          <w:rFonts w:asciiTheme="majorBidi" w:hAnsiTheme="majorBidi" w:cstheme="majorBidi"/>
          <w:b w:val="0"/>
          <w:bCs w:val="0"/>
          <w:sz w:val="28"/>
          <w:szCs w:val="28"/>
        </w:rPr>
        <w:t>using sound</w:t>
      </w:r>
      <w:r w:rsidRPr="00FD466A">
        <w:rPr>
          <w:rFonts w:asciiTheme="majorBidi" w:hAnsiTheme="majorBidi" w:cstheme="majorBidi"/>
          <w:b w:val="0"/>
          <w:bCs w:val="0"/>
          <w:sz w:val="28"/>
          <w:szCs w:val="28"/>
        </w:rPr>
        <w:t xml:space="preserve"> waves to make pictures</w:t>
      </w:r>
      <w:r w:rsidR="004026AD" w:rsidRPr="00FD466A">
        <w:rPr>
          <w:rFonts w:asciiTheme="majorBidi" w:hAnsiTheme="majorBidi" w:cstheme="majorBidi"/>
          <w:b w:val="0"/>
          <w:bCs w:val="0"/>
          <w:sz w:val="28"/>
          <w:szCs w:val="28"/>
        </w:rPr>
        <w:t>.</w:t>
      </w:r>
      <w:r w:rsidR="004026AD" w:rsidRPr="00FD466A">
        <w:rPr>
          <w:rFonts w:asciiTheme="majorBidi" w:hAnsiTheme="majorBidi" w:cstheme="majorBidi"/>
          <w:b w:val="0"/>
          <w:bCs w:val="0"/>
          <w:spacing w:val="-13"/>
          <w:sz w:val="28"/>
          <w:szCs w:val="28"/>
        </w:rPr>
        <w:t xml:space="preserve"> </w:t>
      </w:r>
      <w:r w:rsidR="004026AD" w:rsidRPr="00FD466A">
        <w:rPr>
          <w:rFonts w:asciiTheme="majorBidi" w:hAnsiTheme="majorBidi" w:cstheme="majorBidi"/>
          <w:b w:val="0"/>
          <w:bCs w:val="0"/>
          <w:sz w:val="28"/>
          <w:szCs w:val="28"/>
        </w:rPr>
        <w:t>It shows</w:t>
      </w:r>
      <w:r w:rsidR="004026AD" w:rsidRPr="00FD466A">
        <w:rPr>
          <w:rFonts w:asciiTheme="majorBidi" w:hAnsiTheme="majorBidi" w:cstheme="majorBidi"/>
          <w:b w:val="0"/>
          <w:bCs w:val="0"/>
          <w:spacing w:val="-14"/>
          <w:sz w:val="28"/>
          <w:szCs w:val="28"/>
        </w:rPr>
        <w:t xml:space="preserve"> </w:t>
      </w:r>
      <w:r w:rsidR="00940085" w:rsidRPr="00FD466A">
        <w:rPr>
          <w:rFonts w:asciiTheme="majorBidi" w:hAnsiTheme="majorBidi" w:cstheme="majorBidi"/>
          <w:b w:val="0"/>
          <w:bCs w:val="0"/>
          <w:sz w:val="28"/>
          <w:szCs w:val="28"/>
        </w:rPr>
        <w:t>doctor</w:t>
      </w:r>
      <w:r w:rsidR="00940085" w:rsidRPr="00FD466A">
        <w:rPr>
          <w:rFonts w:asciiTheme="majorBidi" w:hAnsiTheme="majorBidi" w:cstheme="majorBidi"/>
          <w:b w:val="0"/>
          <w:bCs w:val="0"/>
          <w:spacing w:val="-14"/>
          <w:sz w:val="28"/>
          <w:szCs w:val="28"/>
        </w:rPr>
        <w:t>s how</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your</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heart</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is</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beating</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lastRenderedPageBreak/>
        <w:t>and pumping</w:t>
      </w:r>
      <w:r w:rsidR="004026AD" w:rsidRPr="00FD466A">
        <w:rPr>
          <w:rFonts w:asciiTheme="majorBidi" w:hAnsiTheme="majorBidi" w:cstheme="majorBidi"/>
          <w:b w:val="0"/>
          <w:bCs w:val="0"/>
          <w:spacing w:val="-3"/>
          <w:sz w:val="28"/>
          <w:szCs w:val="28"/>
        </w:rPr>
        <w:t xml:space="preserve"> </w:t>
      </w:r>
      <w:r w:rsidR="004026AD" w:rsidRPr="00FD466A">
        <w:rPr>
          <w:rFonts w:asciiTheme="majorBidi" w:hAnsiTheme="majorBidi" w:cstheme="majorBidi"/>
          <w:b w:val="0"/>
          <w:bCs w:val="0"/>
          <w:sz w:val="28"/>
          <w:szCs w:val="28"/>
        </w:rPr>
        <w:t>blood</w:t>
      </w:r>
      <w:proofErr w:type="gramStart"/>
      <w:r w:rsidR="004026AD" w:rsidRPr="00FD466A">
        <w:rPr>
          <w:rFonts w:asciiTheme="majorBidi" w:hAnsiTheme="majorBidi" w:cstheme="majorBidi"/>
          <w:b w:val="0"/>
          <w:bCs w:val="0"/>
          <w:sz w:val="28"/>
          <w:szCs w:val="28"/>
        </w:rPr>
        <w:t>..</w:t>
      </w:r>
      <w:proofErr w:type="gramEnd"/>
      <w:r w:rsidR="004026AD" w:rsidRPr="00FD466A">
        <w:rPr>
          <w:rFonts w:asciiTheme="majorBidi" w:hAnsiTheme="majorBidi" w:cstheme="majorBidi"/>
          <w:b w:val="0"/>
          <w:bCs w:val="0"/>
          <w:sz w:val="28"/>
          <w:szCs w:val="28"/>
        </w:rPr>
        <w:t xml:space="preserve"> This test uses a radiotracer, just like a PET scan, to get detailed pictures. It can help</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doctors</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see</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how</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well</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your</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heart</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is</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able</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to</w:t>
      </w:r>
      <w:r w:rsidR="004026AD" w:rsidRPr="00FD466A">
        <w:rPr>
          <w:rFonts w:asciiTheme="majorBidi" w:hAnsiTheme="majorBidi" w:cstheme="majorBidi"/>
          <w:b w:val="0"/>
          <w:bCs w:val="0"/>
          <w:spacing w:val="-14"/>
          <w:sz w:val="28"/>
          <w:szCs w:val="28"/>
        </w:rPr>
        <w:t xml:space="preserve"> </w:t>
      </w:r>
      <w:r w:rsidR="004026AD" w:rsidRPr="00FD466A">
        <w:rPr>
          <w:rFonts w:asciiTheme="majorBidi" w:hAnsiTheme="majorBidi" w:cstheme="majorBidi"/>
          <w:b w:val="0"/>
          <w:bCs w:val="0"/>
          <w:sz w:val="28"/>
          <w:szCs w:val="28"/>
        </w:rPr>
        <w:t xml:space="preserve">pump blood. Some treatments for ALL can damage your heart. Thus, </w:t>
      </w:r>
      <w:proofErr w:type="gramStart"/>
      <w:r w:rsidR="004026AD" w:rsidRPr="00FD466A">
        <w:rPr>
          <w:rFonts w:asciiTheme="majorBidi" w:hAnsiTheme="majorBidi" w:cstheme="majorBidi"/>
          <w:b w:val="0"/>
          <w:bCs w:val="0"/>
          <w:sz w:val="28"/>
          <w:szCs w:val="28"/>
        </w:rPr>
        <w:t>doctor</w:t>
      </w:r>
      <w:r w:rsidRPr="00FD466A">
        <w:rPr>
          <w:rFonts w:asciiTheme="majorBidi" w:hAnsiTheme="majorBidi" w:cstheme="majorBidi"/>
          <w:b w:val="0"/>
          <w:bCs w:val="0"/>
          <w:sz w:val="28"/>
          <w:szCs w:val="28"/>
        </w:rPr>
        <w:t xml:space="preserve">s </w:t>
      </w:r>
      <w:r w:rsidR="004026AD" w:rsidRPr="00FD466A">
        <w:rPr>
          <w:rFonts w:asciiTheme="majorBidi" w:hAnsiTheme="majorBidi" w:cstheme="majorBidi"/>
          <w:b w:val="0"/>
          <w:bCs w:val="0"/>
          <w:sz w:val="28"/>
          <w:szCs w:val="28"/>
        </w:rPr>
        <w:t xml:space="preserve"> may</w:t>
      </w:r>
      <w:proofErr w:type="gramEnd"/>
      <w:r w:rsidR="004026AD" w:rsidRPr="00FD466A">
        <w:rPr>
          <w:rFonts w:asciiTheme="majorBidi" w:hAnsiTheme="majorBidi" w:cstheme="majorBidi"/>
          <w:b w:val="0"/>
          <w:bCs w:val="0"/>
          <w:sz w:val="28"/>
          <w:szCs w:val="28"/>
        </w:rPr>
        <w:t xml:space="preserve"> want to test how well your heart</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works</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in</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order</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to</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plan</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the</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best</w:t>
      </w:r>
      <w:r w:rsidR="004026AD" w:rsidRPr="00FD466A">
        <w:rPr>
          <w:rFonts w:asciiTheme="majorBidi" w:hAnsiTheme="majorBidi" w:cstheme="majorBidi"/>
          <w:b w:val="0"/>
          <w:bCs w:val="0"/>
          <w:spacing w:val="-15"/>
          <w:sz w:val="28"/>
          <w:szCs w:val="28"/>
        </w:rPr>
        <w:t xml:space="preserve"> </w:t>
      </w:r>
      <w:r w:rsidR="004026AD" w:rsidRPr="00FD466A">
        <w:rPr>
          <w:rFonts w:asciiTheme="majorBidi" w:hAnsiTheme="majorBidi" w:cstheme="majorBidi"/>
          <w:b w:val="0"/>
          <w:bCs w:val="0"/>
          <w:sz w:val="28"/>
          <w:szCs w:val="28"/>
        </w:rPr>
        <w:t>treatment.</w:t>
      </w: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AB59F6" w:rsidRDefault="00AB59F6" w:rsidP="00553713">
      <w:pPr>
        <w:pStyle w:val="Heading8"/>
        <w:spacing w:line="360" w:lineRule="auto"/>
        <w:ind w:left="0" w:right="1031"/>
        <w:jc w:val="lowKashida"/>
        <w:rPr>
          <w:rFonts w:asciiTheme="majorBidi" w:hAnsiTheme="majorBidi" w:cstheme="majorBidi"/>
          <w:sz w:val="28"/>
          <w:szCs w:val="28"/>
          <w:u w:val="single"/>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053390" w:rsidRDefault="00053390" w:rsidP="009E5FA7">
      <w:pPr>
        <w:pStyle w:val="Heading8"/>
        <w:spacing w:line="360" w:lineRule="auto"/>
        <w:ind w:left="0" w:right="1031"/>
        <w:jc w:val="center"/>
        <w:rPr>
          <w:rFonts w:asciiTheme="majorBidi" w:hAnsiTheme="majorBidi" w:cstheme="majorBidi"/>
          <w:sz w:val="32"/>
          <w:szCs w:val="32"/>
        </w:rPr>
      </w:pPr>
    </w:p>
    <w:p w:rsidR="009E5FA7" w:rsidRDefault="004C795C" w:rsidP="009E5FA7">
      <w:pPr>
        <w:pStyle w:val="Heading8"/>
        <w:spacing w:line="360" w:lineRule="auto"/>
        <w:ind w:left="0" w:right="1031"/>
        <w:jc w:val="center"/>
        <w:rPr>
          <w:rFonts w:asciiTheme="majorBidi" w:hAnsiTheme="majorBidi" w:cstheme="majorBidi"/>
          <w:sz w:val="32"/>
          <w:szCs w:val="32"/>
        </w:rPr>
      </w:pPr>
      <w:r>
        <w:rPr>
          <w:rFonts w:asciiTheme="majorBidi" w:hAnsiTheme="majorBidi" w:cstheme="majorBidi"/>
          <w:sz w:val="32"/>
          <w:szCs w:val="32"/>
        </w:rPr>
        <w:lastRenderedPageBreak/>
        <w:t>Anti-</w:t>
      </w:r>
      <w:r w:rsidRPr="00AB59F6">
        <w:rPr>
          <w:rFonts w:asciiTheme="majorBidi" w:hAnsiTheme="majorBidi" w:cstheme="majorBidi"/>
          <w:sz w:val="32"/>
          <w:szCs w:val="32"/>
        </w:rPr>
        <w:t>leukemic</w:t>
      </w:r>
      <w:r w:rsidR="00AB59F6" w:rsidRPr="00AB59F6">
        <w:rPr>
          <w:rFonts w:asciiTheme="majorBidi" w:hAnsiTheme="majorBidi" w:cstheme="majorBidi"/>
          <w:sz w:val="32"/>
          <w:szCs w:val="32"/>
        </w:rPr>
        <w:t xml:space="preserve"> agents</w:t>
      </w:r>
    </w:p>
    <w:p w:rsidR="009E5FA7" w:rsidRDefault="004C795C" w:rsidP="004C795C">
      <w:pPr>
        <w:pStyle w:val="Heading8"/>
        <w:spacing w:line="360" w:lineRule="auto"/>
        <w:ind w:left="0"/>
        <w:jc w:val="lowKashida"/>
        <w:rPr>
          <w:rFonts w:asciiTheme="majorBidi" w:hAnsiTheme="majorBidi" w:cstheme="majorBidi"/>
          <w:i/>
          <w:iCs/>
          <w:sz w:val="28"/>
          <w:szCs w:val="28"/>
        </w:rPr>
      </w:pPr>
      <w:r>
        <w:rPr>
          <w:rFonts w:asciiTheme="majorBidi" w:hAnsiTheme="majorBidi" w:cstheme="majorBidi"/>
          <w:sz w:val="32"/>
          <w:szCs w:val="32"/>
        </w:rPr>
        <w:t xml:space="preserve">    </w:t>
      </w:r>
      <w:r w:rsidR="009E5FA7">
        <w:rPr>
          <w:rFonts w:asciiTheme="majorBidi" w:hAnsiTheme="majorBidi" w:cstheme="majorBidi"/>
          <w:b w:val="0"/>
          <w:bCs w:val="0"/>
          <w:sz w:val="28"/>
          <w:szCs w:val="28"/>
        </w:rPr>
        <w:t xml:space="preserve"> </w:t>
      </w:r>
      <w:r w:rsidR="009E5FA7" w:rsidRPr="009E5FA7">
        <w:rPr>
          <w:rFonts w:asciiTheme="majorBidi" w:hAnsiTheme="majorBidi" w:cstheme="majorBidi"/>
          <w:b w:val="0"/>
          <w:bCs w:val="0"/>
          <w:sz w:val="28"/>
          <w:szCs w:val="28"/>
        </w:rPr>
        <w:t>One of the hallmarks of the tr</w:t>
      </w:r>
      <w:r w:rsidR="009E5FA7">
        <w:rPr>
          <w:rFonts w:asciiTheme="majorBidi" w:hAnsiTheme="majorBidi" w:cstheme="majorBidi"/>
          <w:b w:val="0"/>
          <w:bCs w:val="0"/>
          <w:sz w:val="28"/>
          <w:szCs w:val="28"/>
        </w:rPr>
        <w:t xml:space="preserve">eatment of childhood ALL is the </w:t>
      </w:r>
      <w:r w:rsidR="009E5FA7" w:rsidRPr="009E5FA7">
        <w:rPr>
          <w:rFonts w:asciiTheme="majorBidi" w:hAnsiTheme="majorBidi" w:cstheme="majorBidi"/>
          <w:b w:val="0"/>
          <w:bCs w:val="0"/>
          <w:sz w:val="28"/>
          <w:szCs w:val="28"/>
        </w:rPr>
        <w:t>reliance on risk-based stratification. By identifying the features that have been shown to affect prognosis, patients can be classified into groups based on risk of treatment failure. Those with favorable features can be treated with less toxic regimens, whereas more aggressive regimens are reserved</w:t>
      </w:r>
      <w:r w:rsidR="009E5FA7" w:rsidRPr="009E5FA7">
        <w:rPr>
          <w:rFonts w:asciiTheme="majorBidi" w:hAnsiTheme="majorBidi" w:cstheme="majorBidi"/>
        </w:rPr>
        <w:t xml:space="preserve"> </w:t>
      </w:r>
      <w:r w:rsidR="009E5FA7" w:rsidRPr="009E5FA7">
        <w:rPr>
          <w:rFonts w:asciiTheme="majorBidi" w:hAnsiTheme="majorBidi" w:cstheme="majorBidi"/>
          <w:b w:val="0"/>
          <w:bCs w:val="0"/>
          <w:sz w:val="28"/>
          <w:szCs w:val="28"/>
        </w:rPr>
        <w:t>for those with more high-risk disease</w:t>
      </w:r>
      <w:r w:rsidR="009E5FA7">
        <w:rPr>
          <w:rFonts w:asciiTheme="majorBidi" w:hAnsiTheme="majorBidi" w:cstheme="majorBidi"/>
          <w:b w:val="0"/>
          <w:bCs w:val="0"/>
          <w:sz w:val="28"/>
          <w:szCs w:val="28"/>
        </w:rPr>
        <w:t xml:space="preserve"> </w:t>
      </w:r>
      <w:r w:rsidR="009E5FA7" w:rsidRPr="009E5FA7">
        <w:rPr>
          <w:rFonts w:asciiTheme="majorBidi" w:hAnsiTheme="majorBidi" w:cstheme="majorBidi"/>
          <w:b w:val="0"/>
          <w:bCs w:val="0"/>
          <w:i/>
          <w:iCs/>
          <w:sz w:val="28"/>
          <w:szCs w:val="28"/>
        </w:rPr>
        <w:t>(</w:t>
      </w:r>
      <w:proofErr w:type="spellStart"/>
      <w:r w:rsidR="009E5FA7" w:rsidRPr="009E5FA7">
        <w:rPr>
          <w:rFonts w:asciiTheme="majorBidi" w:hAnsiTheme="majorBidi" w:cstheme="majorBidi"/>
          <w:i/>
          <w:iCs/>
          <w:sz w:val="28"/>
          <w:szCs w:val="28"/>
        </w:rPr>
        <w:t>Möricket</w:t>
      </w:r>
      <w:proofErr w:type="spellEnd"/>
      <w:r w:rsidR="009E5FA7" w:rsidRPr="009E5FA7">
        <w:rPr>
          <w:rFonts w:asciiTheme="majorBidi" w:hAnsiTheme="majorBidi" w:cstheme="majorBidi"/>
          <w:i/>
          <w:iCs/>
          <w:sz w:val="28"/>
          <w:szCs w:val="28"/>
        </w:rPr>
        <w:t xml:space="preserve"> al., 2005)</w:t>
      </w:r>
      <w:r w:rsidR="009E5FA7" w:rsidRPr="009E5FA7">
        <w:rPr>
          <w:rFonts w:asciiTheme="majorBidi" w:hAnsiTheme="majorBidi" w:cstheme="majorBidi"/>
          <w:b w:val="0"/>
          <w:bCs w:val="0"/>
          <w:i/>
          <w:iCs/>
          <w:sz w:val="28"/>
          <w:szCs w:val="28"/>
        </w:rPr>
        <w:t>.</w:t>
      </w:r>
    </w:p>
    <w:p w:rsidR="00835C50" w:rsidRDefault="00835C50" w:rsidP="00684103">
      <w:pPr>
        <w:pStyle w:val="Heading8"/>
        <w:spacing w:line="360" w:lineRule="auto"/>
        <w:ind w:left="142" w:hanging="142"/>
        <w:jc w:val="lowKashida"/>
        <w:rPr>
          <w:rFonts w:asciiTheme="majorBidi" w:hAnsiTheme="majorBidi" w:cstheme="majorBidi"/>
          <w:b w:val="0"/>
          <w:bCs w:val="0"/>
          <w:sz w:val="28"/>
          <w:szCs w:val="28"/>
        </w:rPr>
      </w:pPr>
      <w:r>
        <w:t xml:space="preserve">Risk </w:t>
      </w:r>
      <w:proofErr w:type="gramStart"/>
      <w:r>
        <w:t>categories</w:t>
      </w:r>
      <w:r w:rsidR="000E0C65">
        <w:rPr>
          <w:rFonts w:asciiTheme="majorBidi" w:hAnsiTheme="majorBidi" w:cstheme="majorBidi"/>
          <w:b w:val="0"/>
          <w:bCs w:val="0"/>
          <w:sz w:val="28"/>
          <w:szCs w:val="28"/>
        </w:rPr>
        <w:t xml:space="preserve"> </w:t>
      </w:r>
      <w:r w:rsidR="00623C20">
        <w:rPr>
          <w:rFonts w:asciiTheme="majorBidi" w:hAnsiTheme="majorBidi" w:cstheme="majorBidi"/>
          <w:b w:val="0"/>
          <w:bCs w:val="0"/>
          <w:sz w:val="28"/>
          <w:szCs w:val="28"/>
        </w:rPr>
        <w:t xml:space="preserve"> </w:t>
      </w:r>
      <w:r w:rsidR="00684103" w:rsidRPr="000E0C65">
        <w:rPr>
          <w:rFonts w:asciiTheme="majorBidi" w:hAnsiTheme="majorBidi" w:cstheme="majorBidi"/>
          <w:i/>
          <w:iCs/>
          <w:sz w:val="28"/>
          <w:szCs w:val="28"/>
        </w:rPr>
        <w:t>(</w:t>
      </w:r>
      <w:proofErr w:type="spellStart"/>
      <w:proofErr w:type="gramEnd"/>
      <w:r w:rsidR="00684103" w:rsidRPr="000E0C65">
        <w:rPr>
          <w:rFonts w:asciiTheme="majorBidi" w:hAnsiTheme="majorBidi" w:cstheme="majorBidi"/>
          <w:i/>
          <w:iCs/>
          <w:sz w:val="28"/>
          <w:szCs w:val="28"/>
        </w:rPr>
        <w:t>Pui</w:t>
      </w:r>
      <w:proofErr w:type="spellEnd"/>
      <w:r w:rsidR="000E0C65" w:rsidRPr="000E0C65">
        <w:rPr>
          <w:rFonts w:asciiTheme="majorBidi" w:hAnsiTheme="majorBidi" w:cstheme="majorBidi"/>
          <w:i/>
          <w:iCs/>
          <w:sz w:val="28"/>
          <w:szCs w:val="28"/>
        </w:rPr>
        <w:t xml:space="preserve"> et al., 2012).</w:t>
      </w:r>
    </w:p>
    <w:p w:rsidR="00835C50" w:rsidRPr="00835C50" w:rsidRDefault="00835C50" w:rsidP="00835C50">
      <w:pPr>
        <w:numPr>
          <w:ilvl w:val="0"/>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sidRPr="00835C50">
        <w:rPr>
          <w:rFonts w:ascii="Times New Roman" w:eastAsia="Times New Roman" w:hAnsi="Times New Roman" w:cs="Times New Roman"/>
          <w:color w:val="000000"/>
          <w:sz w:val="28"/>
          <w:szCs w:val="28"/>
        </w:rPr>
        <w:t xml:space="preserve">low-risk </w:t>
      </w:r>
    </w:p>
    <w:p w:rsidR="00835C50" w:rsidRPr="00835C50" w:rsidRDefault="0005339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835C50" w:rsidRPr="00835C50">
        <w:rPr>
          <w:rFonts w:ascii="Times New Roman" w:eastAsia="Times New Roman" w:hAnsi="Times New Roman" w:cs="Times New Roman"/>
          <w:color w:val="000000"/>
          <w:sz w:val="28"/>
          <w:szCs w:val="28"/>
        </w:rPr>
        <w:t>ge greater than 1 and less than 10 years</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05339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WBC </w:t>
      </w:r>
      <w:r w:rsidR="00835C50" w:rsidRPr="00835C50">
        <w:rPr>
          <w:rFonts w:ascii="Times New Roman" w:eastAsia="Times New Roman" w:hAnsi="Times New Roman" w:cs="Times New Roman"/>
          <w:color w:val="000000"/>
          <w:sz w:val="28"/>
          <w:szCs w:val="28"/>
        </w:rPr>
        <w:t>less than 50,000 at diagnosis</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Default="0005339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w:t>
      </w:r>
      <w:r w:rsidR="00835C50" w:rsidRPr="00835C50">
        <w:rPr>
          <w:rFonts w:ascii="Times New Roman" w:eastAsia="Times New Roman" w:hAnsi="Times New Roman" w:cs="Times New Roman"/>
          <w:color w:val="000000"/>
          <w:sz w:val="28"/>
          <w:szCs w:val="28"/>
        </w:rPr>
        <w:t>yperdiploid</w:t>
      </w:r>
      <w:proofErr w:type="spellEnd"/>
      <w:r w:rsidR="00835C50" w:rsidRPr="00835C50">
        <w:rPr>
          <w:rFonts w:ascii="Times New Roman" w:eastAsia="Times New Roman" w:hAnsi="Times New Roman" w:cs="Times New Roman"/>
          <w:color w:val="000000"/>
          <w:sz w:val="28"/>
          <w:szCs w:val="28"/>
        </w:rPr>
        <w:t xml:space="preserve"> (DNA index greater than 1.16)</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05339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w:t>
      </w:r>
      <w:r w:rsidR="00835C50" w:rsidRPr="00835C50">
        <w:rPr>
          <w:rFonts w:ascii="Times New Roman" w:eastAsia="Times New Roman" w:hAnsi="Times New Roman" w:cs="Times New Roman"/>
          <w:color w:val="000000"/>
          <w:sz w:val="28"/>
          <w:szCs w:val="28"/>
        </w:rPr>
        <w:t xml:space="preserve">ust respond to treatment by having less than 5% bone marrow blasts at day 19 or 26 </w:t>
      </w:r>
    </w:p>
    <w:p w:rsidR="00835C50" w:rsidRPr="00835C50" w:rsidRDefault="0005339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w:t>
      </w:r>
      <w:r w:rsidR="00835C50" w:rsidRPr="00835C50">
        <w:rPr>
          <w:rFonts w:ascii="Times New Roman" w:eastAsia="Times New Roman" w:hAnsi="Times New Roman" w:cs="Times New Roman"/>
          <w:color w:val="000000"/>
          <w:sz w:val="28"/>
          <w:szCs w:val="28"/>
        </w:rPr>
        <w:t>ust respond to treatment by having less than 0.01% MRD on day 46</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835C50" w:rsidP="00835C50">
      <w:pPr>
        <w:numPr>
          <w:ilvl w:val="0"/>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sidRPr="00835C50">
        <w:rPr>
          <w:rFonts w:ascii="Times New Roman" w:eastAsia="Times New Roman" w:hAnsi="Times New Roman" w:cs="Times New Roman"/>
          <w:color w:val="000000"/>
          <w:sz w:val="28"/>
          <w:szCs w:val="28"/>
        </w:rPr>
        <w:t xml:space="preserve">standard-risk </w:t>
      </w:r>
    </w:p>
    <w:p w:rsidR="00835C50" w:rsidRPr="00835C50" w:rsidRDefault="00684103"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sidRPr="00835C50">
        <w:rPr>
          <w:rFonts w:ascii="Times New Roman" w:eastAsia="Times New Roman" w:hAnsi="Times New Roman" w:cs="Times New Roman"/>
          <w:color w:val="000000"/>
          <w:sz w:val="28"/>
          <w:szCs w:val="28"/>
        </w:rPr>
        <w:t>Age</w:t>
      </w:r>
      <w:r w:rsidR="00835C50" w:rsidRPr="00835C50">
        <w:rPr>
          <w:rFonts w:ascii="Times New Roman" w:eastAsia="Times New Roman" w:hAnsi="Times New Roman" w:cs="Times New Roman"/>
          <w:color w:val="000000"/>
          <w:sz w:val="28"/>
          <w:szCs w:val="28"/>
        </w:rPr>
        <w:t xml:space="preserve"> 10 years or over</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684103" w:rsidP="00684103">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WBC</w:t>
      </w:r>
      <w:r w:rsidR="00835C50" w:rsidRPr="00835C50">
        <w:rPr>
          <w:rFonts w:ascii="Times New Roman" w:eastAsia="Times New Roman" w:hAnsi="Times New Roman" w:cs="Times New Roman"/>
          <w:color w:val="000000"/>
          <w:sz w:val="28"/>
          <w:szCs w:val="28"/>
        </w:rPr>
        <w:t xml:space="preserve"> greater than 50,000 at diagnosis</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684103"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835C50" w:rsidRPr="00835C50">
        <w:rPr>
          <w:rFonts w:ascii="Times New Roman" w:eastAsia="Times New Roman" w:hAnsi="Times New Roman" w:cs="Times New Roman"/>
          <w:color w:val="000000"/>
          <w:sz w:val="28"/>
          <w:szCs w:val="28"/>
        </w:rPr>
        <w:t xml:space="preserve">NS involvement: greater than 5 </w:t>
      </w:r>
      <w:proofErr w:type="spellStart"/>
      <w:proofErr w:type="gramStart"/>
      <w:r w:rsidR="00835C50" w:rsidRPr="00835C50">
        <w:rPr>
          <w:rFonts w:ascii="Times New Roman" w:eastAsia="Times New Roman" w:hAnsi="Times New Roman" w:cs="Times New Roman"/>
          <w:color w:val="000000"/>
          <w:sz w:val="28"/>
          <w:szCs w:val="28"/>
        </w:rPr>
        <w:t>wbc</w:t>
      </w:r>
      <w:proofErr w:type="spellEnd"/>
      <w:proofErr w:type="gramEnd"/>
      <w:r w:rsidR="00835C50" w:rsidRPr="00835C50">
        <w:rPr>
          <w:rFonts w:ascii="Times New Roman" w:eastAsia="Times New Roman" w:hAnsi="Times New Roman" w:cs="Times New Roman"/>
          <w:color w:val="000000"/>
          <w:sz w:val="28"/>
          <w:szCs w:val="28"/>
        </w:rPr>
        <w:t xml:space="preserve"> per microliter of CNS fluid</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684103"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sidRPr="00835C50">
        <w:rPr>
          <w:rFonts w:ascii="Times New Roman" w:eastAsia="Times New Roman" w:hAnsi="Times New Roman" w:cs="Times New Roman"/>
          <w:color w:val="000000"/>
          <w:sz w:val="28"/>
          <w:szCs w:val="28"/>
        </w:rPr>
        <w:t>Testicular</w:t>
      </w:r>
      <w:r w:rsidR="00835C50" w:rsidRPr="00835C50">
        <w:rPr>
          <w:rFonts w:ascii="Times New Roman" w:eastAsia="Times New Roman" w:hAnsi="Times New Roman" w:cs="Times New Roman"/>
          <w:color w:val="000000"/>
          <w:sz w:val="28"/>
          <w:szCs w:val="28"/>
        </w:rPr>
        <w:t xml:space="preserve"> leukemia</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684103"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Pr="00835C50">
        <w:rPr>
          <w:rFonts w:ascii="Times New Roman" w:eastAsia="Times New Roman" w:hAnsi="Times New Roman" w:cs="Times New Roman"/>
          <w:color w:val="000000"/>
          <w:sz w:val="28"/>
          <w:szCs w:val="28"/>
        </w:rPr>
        <w:t>ypo diploid</w:t>
      </w:r>
      <w:r w:rsidR="00835C50" w:rsidRPr="00835C50">
        <w:rPr>
          <w:rFonts w:ascii="Times New Roman" w:eastAsia="Times New Roman" w:hAnsi="Times New Roman" w:cs="Times New Roman"/>
          <w:color w:val="000000"/>
          <w:sz w:val="28"/>
          <w:szCs w:val="28"/>
        </w:rPr>
        <w:t xml:space="preserve"> (less than 45 chromosomes)</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835C5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sidRPr="00835C50">
        <w:rPr>
          <w:rFonts w:ascii="Times New Roman" w:eastAsia="Times New Roman" w:hAnsi="Times New Roman" w:cs="Times New Roman"/>
          <w:color w:val="000000"/>
          <w:sz w:val="28"/>
          <w:szCs w:val="28"/>
        </w:rPr>
        <w:t>T-cell</w:t>
      </w:r>
      <w:r>
        <w:rPr>
          <w:rFonts w:ascii="Times New Roman" w:eastAsia="Times New Roman" w:hAnsi="Times New Roman" w:cs="Times New Roman"/>
          <w:color w:val="000000"/>
          <w:sz w:val="28"/>
          <w:szCs w:val="28"/>
        </w:rPr>
        <w:t>.</w:t>
      </w:r>
      <w:r w:rsidRPr="00835C50">
        <w:rPr>
          <w:rFonts w:ascii="Times New Roman" w:eastAsia="Times New Roman" w:hAnsi="Times New Roman" w:cs="Times New Roman"/>
          <w:color w:val="000000"/>
          <w:sz w:val="28"/>
          <w:szCs w:val="28"/>
        </w:rPr>
        <w:t xml:space="preserve"> </w:t>
      </w:r>
    </w:p>
    <w:p w:rsidR="00835C50" w:rsidRPr="00835C50" w:rsidRDefault="00684103"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w:t>
      </w:r>
      <w:r w:rsidR="00835C50" w:rsidRPr="00835C50">
        <w:rPr>
          <w:rFonts w:ascii="Times New Roman" w:eastAsia="Times New Roman" w:hAnsi="Times New Roman" w:cs="Times New Roman"/>
          <w:color w:val="000000"/>
          <w:sz w:val="28"/>
          <w:szCs w:val="28"/>
        </w:rPr>
        <w:t>(</w:t>
      </w:r>
      <w:proofErr w:type="gramEnd"/>
      <w:r w:rsidR="00835C50" w:rsidRPr="00835C50">
        <w:rPr>
          <w:rFonts w:ascii="Times New Roman" w:eastAsia="Times New Roman" w:hAnsi="Times New Roman" w:cs="Times New Roman"/>
          <w:color w:val="000000"/>
          <w:sz w:val="28"/>
          <w:szCs w:val="28"/>
        </w:rPr>
        <w:t>1:19) and E2A-PBX1 fusion</w:t>
      </w:r>
      <w:r w:rsidR="00835C50">
        <w:rPr>
          <w:rFonts w:ascii="Times New Roman" w:eastAsia="Times New Roman" w:hAnsi="Times New Roman" w:cs="Times New Roman"/>
          <w:color w:val="000000"/>
          <w:sz w:val="28"/>
          <w:szCs w:val="28"/>
        </w:rPr>
        <w:t>.</w:t>
      </w:r>
      <w:r w:rsidR="00835C50" w:rsidRPr="00835C50">
        <w:rPr>
          <w:rFonts w:ascii="Times New Roman" w:eastAsia="Times New Roman" w:hAnsi="Times New Roman" w:cs="Times New Roman"/>
          <w:color w:val="000000"/>
          <w:sz w:val="28"/>
          <w:szCs w:val="28"/>
        </w:rPr>
        <w:t xml:space="preserve"> </w:t>
      </w:r>
    </w:p>
    <w:p w:rsidR="00835C50" w:rsidRPr="00835C50" w:rsidRDefault="00835C50" w:rsidP="00835C50">
      <w:pPr>
        <w:numPr>
          <w:ilvl w:val="1"/>
          <w:numId w:val="15"/>
        </w:numPr>
        <w:bidi w:val="0"/>
        <w:spacing w:before="100" w:beforeAutospacing="1" w:after="100" w:afterAutospacing="1" w:line="360" w:lineRule="auto"/>
        <w:rPr>
          <w:rFonts w:ascii="Times New Roman" w:eastAsia="Times New Roman" w:hAnsi="Times New Roman" w:cs="Times New Roman"/>
          <w:color w:val="000000"/>
          <w:sz w:val="28"/>
          <w:szCs w:val="28"/>
        </w:rPr>
      </w:pPr>
      <w:r w:rsidRPr="00835C50">
        <w:rPr>
          <w:rFonts w:ascii="Times New Roman" w:eastAsia="Times New Roman" w:hAnsi="Times New Roman" w:cs="Times New Roman"/>
          <w:color w:val="000000"/>
          <w:sz w:val="28"/>
          <w:szCs w:val="28"/>
        </w:rPr>
        <w:t xml:space="preserve">MLL rearrangement [often </w:t>
      </w:r>
      <w:proofErr w:type="gramStart"/>
      <w:r w:rsidRPr="00835C50">
        <w:rPr>
          <w:rFonts w:ascii="Times New Roman" w:eastAsia="Times New Roman" w:hAnsi="Times New Roman" w:cs="Times New Roman"/>
          <w:color w:val="000000"/>
          <w:sz w:val="28"/>
          <w:szCs w:val="28"/>
        </w:rPr>
        <w:t>t(</w:t>
      </w:r>
      <w:proofErr w:type="gramEnd"/>
      <w:r w:rsidRPr="00835C50">
        <w:rPr>
          <w:rFonts w:ascii="Times New Roman" w:eastAsia="Times New Roman" w:hAnsi="Times New Roman" w:cs="Times New Roman"/>
          <w:color w:val="000000"/>
          <w:sz w:val="28"/>
          <w:szCs w:val="28"/>
        </w:rPr>
        <w:t xml:space="preserve">4;11)] </w:t>
      </w:r>
      <w:r>
        <w:rPr>
          <w:rFonts w:ascii="Times New Roman" w:eastAsia="Times New Roman" w:hAnsi="Times New Roman" w:cs="Times New Roman"/>
          <w:color w:val="000000"/>
          <w:sz w:val="28"/>
          <w:szCs w:val="28"/>
        </w:rPr>
        <w:t>.</w:t>
      </w:r>
    </w:p>
    <w:p w:rsidR="00C31C38" w:rsidRDefault="00C31C38" w:rsidP="00835C50">
      <w:pPr>
        <w:pStyle w:val="Heading8"/>
        <w:spacing w:line="360" w:lineRule="auto"/>
        <w:ind w:left="0"/>
        <w:jc w:val="lowKashida"/>
        <w:rPr>
          <w:rFonts w:asciiTheme="majorBidi" w:hAnsiTheme="majorBidi" w:cstheme="majorBidi"/>
          <w:b w:val="0"/>
          <w:bCs w:val="0"/>
          <w:sz w:val="28"/>
          <w:szCs w:val="28"/>
        </w:rPr>
      </w:pPr>
    </w:p>
    <w:p w:rsidR="00DD1F38" w:rsidRPr="007259E4" w:rsidRDefault="00DD1F38" w:rsidP="00835C50">
      <w:pPr>
        <w:pStyle w:val="Heading8"/>
        <w:spacing w:line="360" w:lineRule="auto"/>
        <w:ind w:left="0"/>
        <w:jc w:val="lowKashida"/>
        <w:rPr>
          <w:rFonts w:asciiTheme="majorBidi" w:hAnsiTheme="majorBidi" w:cstheme="majorBidi"/>
          <w:i/>
          <w:iCs/>
          <w:sz w:val="28"/>
          <w:szCs w:val="28"/>
        </w:rPr>
      </w:pPr>
      <w:r w:rsidRPr="00DD1F38">
        <w:rPr>
          <w:rFonts w:asciiTheme="majorBidi" w:hAnsiTheme="majorBidi" w:cstheme="majorBidi"/>
          <w:b w:val="0"/>
          <w:bCs w:val="0"/>
          <w:sz w:val="28"/>
          <w:szCs w:val="28"/>
        </w:rPr>
        <w:lastRenderedPageBreak/>
        <w:t>High-risk features in pediatric acute lymphocytic leukemia (ALL)</w:t>
      </w:r>
      <w:r w:rsidR="007259E4">
        <w:rPr>
          <w:rFonts w:asciiTheme="majorBidi" w:hAnsiTheme="majorBidi" w:cstheme="majorBidi"/>
          <w:b w:val="0"/>
          <w:bCs w:val="0"/>
          <w:sz w:val="28"/>
          <w:szCs w:val="28"/>
        </w:rPr>
        <w:t xml:space="preserve"> </w:t>
      </w:r>
      <w:r w:rsidR="007259E4" w:rsidRPr="007259E4">
        <w:rPr>
          <w:rFonts w:asciiTheme="majorBidi" w:hAnsiTheme="majorBidi" w:cstheme="majorBidi"/>
          <w:i/>
          <w:iCs/>
          <w:sz w:val="28"/>
          <w:szCs w:val="28"/>
        </w:rPr>
        <w:t>(Cooper and Brown, 2015</w:t>
      </w:r>
      <w:proofErr w:type="gramStart"/>
      <w:r w:rsidR="007259E4" w:rsidRPr="007259E4">
        <w:rPr>
          <w:rFonts w:asciiTheme="majorBidi" w:hAnsiTheme="majorBidi" w:cstheme="majorBidi"/>
          <w:i/>
          <w:iCs/>
          <w:sz w:val="28"/>
          <w:szCs w:val="28"/>
        </w:rPr>
        <w:t xml:space="preserve">) </w:t>
      </w:r>
      <w:r w:rsidRPr="007259E4">
        <w:rPr>
          <w:rFonts w:asciiTheme="majorBidi" w:hAnsiTheme="majorBidi" w:cstheme="majorBidi"/>
          <w:i/>
          <w:iCs/>
          <w:sz w:val="28"/>
          <w:szCs w:val="28"/>
        </w:rPr>
        <w:t>:</w:t>
      </w:r>
      <w:proofErr w:type="gramEnd"/>
    </w:p>
    <w:p w:rsidR="00DD1F38" w:rsidRPr="007259E4" w:rsidRDefault="00DD1F38" w:rsidP="00DD1F38">
      <w:pPr>
        <w:pStyle w:val="Heading8"/>
        <w:numPr>
          <w:ilvl w:val="0"/>
          <w:numId w:val="12"/>
        </w:numPr>
        <w:spacing w:line="360" w:lineRule="auto"/>
        <w:jc w:val="lowKashida"/>
        <w:rPr>
          <w:rFonts w:asciiTheme="majorBidi" w:hAnsiTheme="majorBidi" w:cstheme="majorBidi"/>
          <w:b w:val="0"/>
          <w:bCs w:val="0"/>
          <w:i/>
          <w:iCs/>
          <w:sz w:val="28"/>
          <w:szCs w:val="28"/>
        </w:rPr>
      </w:pPr>
      <w:proofErr w:type="gramStart"/>
      <w:r w:rsidRPr="007259E4">
        <w:rPr>
          <w:rFonts w:asciiTheme="majorBidi" w:hAnsiTheme="majorBidi" w:cstheme="majorBidi"/>
          <w:b w:val="0"/>
          <w:bCs w:val="0"/>
          <w:sz w:val="28"/>
          <w:szCs w:val="28"/>
        </w:rPr>
        <w:t>Age less than 1 year old or greater than 10 years old.</w:t>
      </w:r>
      <w:proofErr w:type="gramEnd"/>
    </w:p>
    <w:p w:rsidR="00DD1F38" w:rsidRPr="007259E4" w:rsidRDefault="00DD1F38" w:rsidP="00DD1F38">
      <w:pPr>
        <w:pStyle w:val="Heading8"/>
        <w:numPr>
          <w:ilvl w:val="0"/>
          <w:numId w:val="12"/>
        </w:numPr>
        <w:spacing w:line="360" w:lineRule="auto"/>
        <w:jc w:val="lowKashida"/>
        <w:rPr>
          <w:rFonts w:asciiTheme="majorBidi" w:hAnsiTheme="majorBidi" w:cstheme="majorBidi"/>
          <w:b w:val="0"/>
          <w:bCs w:val="0"/>
          <w:i/>
          <w:iCs/>
          <w:sz w:val="28"/>
          <w:szCs w:val="28"/>
        </w:rPr>
      </w:pPr>
      <w:proofErr w:type="gramStart"/>
      <w:r w:rsidRPr="007259E4">
        <w:rPr>
          <w:rFonts w:asciiTheme="majorBidi" w:hAnsiTheme="majorBidi" w:cstheme="majorBidi"/>
          <w:b w:val="0"/>
          <w:bCs w:val="0"/>
          <w:sz w:val="28"/>
          <w:szCs w:val="28"/>
        </w:rPr>
        <w:t>Initial white blood cell count greater than 50,000/</w:t>
      </w:r>
      <w:proofErr w:type="spellStart"/>
      <w:r w:rsidRPr="007259E4">
        <w:rPr>
          <w:rFonts w:asciiTheme="majorBidi" w:hAnsiTheme="majorBidi" w:cstheme="majorBidi"/>
          <w:b w:val="0"/>
          <w:bCs w:val="0"/>
          <w:sz w:val="28"/>
          <w:szCs w:val="28"/>
        </w:rPr>
        <w:t>μL</w:t>
      </w:r>
      <w:proofErr w:type="spellEnd"/>
      <w:r w:rsidRPr="007259E4">
        <w:rPr>
          <w:rFonts w:asciiTheme="majorBidi" w:hAnsiTheme="majorBidi" w:cstheme="majorBidi"/>
          <w:b w:val="0"/>
          <w:bCs w:val="0"/>
          <w:sz w:val="28"/>
          <w:szCs w:val="28"/>
        </w:rPr>
        <w:t>.</w:t>
      </w:r>
      <w:proofErr w:type="gramEnd"/>
    </w:p>
    <w:p w:rsidR="007259E4" w:rsidRPr="007259E4" w:rsidRDefault="007259E4" w:rsidP="00151246">
      <w:pPr>
        <w:pStyle w:val="Heading8"/>
        <w:numPr>
          <w:ilvl w:val="0"/>
          <w:numId w:val="12"/>
        </w:numPr>
        <w:spacing w:line="360" w:lineRule="auto"/>
        <w:jc w:val="lowKashida"/>
        <w:rPr>
          <w:rFonts w:asciiTheme="majorBidi" w:hAnsiTheme="majorBidi" w:cstheme="majorBidi"/>
          <w:b w:val="0"/>
          <w:bCs w:val="0"/>
          <w:i/>
          <w:iCs/>
          <w:sz w:val="28"/>
          <w:szCs w:val="28"/>
        </w:rPr>
      </w:pPr>
      <w:proofErr w:type="gramStart"/>
      <w:r w:rsidRPr="007259E4">
        <w:rPr>
          <w:rFonts w:asciiTheme="majorBidi" w:hAnsiTheme="majorBidi" w:cstheme="majorBidi"/>
          <w:b w:val="0"/>
          <w:bCs w:val="0"/>
          <w:sz w:val="28"/>
          <w:szCs w:val="28"/>
        </w:rPr>
        <w:t>Central nervous system involvement</w:t>
      </w:r>
      <w:r w:rsidRPr="007259E4">
        <w:rPr>
          <w:rFonts w:asciiTheme="majorBidi" w:hAnsiTheme="majorBidi" w:cstheme="majorBidi"/>
          <w:b w:val="0"/>
          <w:bCs w:val="0"/>
          <w:i/>
          <w:iCs/>
          <w:sz w:val="28"/>
          <w:szCs w:val="28"/>
        </w:rPr>
        <w:t>.</w:t>
      </w:r>
      <w:proofErr w:type="gramEnd"/>
    </w:p>
    <w:p w:rsidR="007259E4" w:rsidRPr="007259E4" w:rsidRDefault="007259E4" w:rsidP="00DD1F38">
      <w:pPr>
        <w:pStyle w:val="Heading8"/>
        <w:numPr>
          <w:ilvl w:val="0"/>
          <w:numId w:val="12"/>
        </w:numPr>
        <w:spacing w:line="360" w:lineRule="auto"/>
        <w:jc w:val="lowKashida"/>
        <w:rPr>
          <w:rFonts w:asciiTheme="majorBidi" w:hAnsiTheme="majorBidi" w:cstheme="majorBidi"/>
          <w:b w:val="0"/>
          <w:bCs w:val="0"/>
          <w:i/>
          <w:iCs/>
          <w:sz w:val="28"/>
          <w:szCs w:val="28"/>
        </w:rPr>
      </w:pPr>
      <w:r w:rsidRPr="007259E4">
        <w:rPr>
          <w:rFonts w:asciiTheme="majorBidi" w:hAnsiTheme="majorBidi" w:cstheme="majorBidi"/>
          <w:b w:val="0"/>
          <w:bCs w:val="0"/>
          <w:sz w:val="28"/>
          <w:szCs w:val="28"/>
        </w:rPr>
        <w:t xml:space="preserve"> </w:t>
      </w:r>
      <w:proofErr w:type="gramStart"/>
      <w:r w:rsidRPr="007259E4">
        <w:rPr>
          <w:rFonts w:asciiTheme="majorBidi" w:hAnsiTheme="majorBidi" w:cstheme="majorBidi"/>
          <w:b w:val="0"/>
          <w:bCs w:val="0"/>
          <w:sz w:val="28"/>
          <w:szCs w:val="28"/>
        </w:rPr>
        <w:t>Testicular involvement</w:t>
      </w:r>
      <w:r w:rsidRPr="007259E4">
        <w:rPr>
          <w:rFonts w:asciiTheme="majorBidi" w:hAnsiTheme="majorBidi" w:cstheme="majorBidi"/>
          <w:b w:val="0"/>
          <w:bCs w:val="0"/>
          <w:i/>
          <w:iCs/>
          <w:sz w:val="28"/>
          <w:szCs w:val="28"/>
        </w:rPr>
        <w:t>.</w:t>
      </w:r>
      <w:proofErr w:type="gramEnd"/>
    </w:p>
    <w:p w:rsidR="007259E4" w:rsidRPr="007259E4" w:rsidRDefault="007259E4" w:rsidP="00DD1F38">
      <w:pPr>
        <w:pStyle w:val="Heading8"/>
        <w:numPr>
          <w:ilvl w:val="0"/>
          <w:numId w:val="12"/>
        </w:numPr>
        <w:spacing w:line="360" w:lineRule="auto"/>
        <w:jc w:val="lowKashida"/>
        <w:rPr>
          <w:rFonts w:asciiTheme="majorBidi" w:hAnsiTheme="majorBidi" w:cstheme="majorBidi"/>
          <w:b w:val="0"/>
          <w:bCs w:val="0"/>
          <w:i/>
          <w:iCs/>
          <w:sz w:val="28"/>
          <w:szCs w:val="28"/>
        </w:rPr>
      </w:pPr>
      <w:r w:rsidRPr="007259E4">
        <w:rPr>
          <w:rFonts w:asciiTheme="majorBidi" w:hAnsiTheme="majorBidi" w:cstheme="majorBidi"/>
          <w:b w:val="0"/>
          <w:bCs w:val="0"/>
          <w:sz w:val="28"/>
          <w:szCs w:val="28"/>
        </w:rPr>
        <w:t>Unfavorable cytogenetics (</w:t>
      </w:r>
      <w:proofErr w:type="spellStart"/>
      <w:r w:rsidRPr="007259E4">
        <w:rPr>
          <w:rFonts w:asciiTheme="majorBidi" w:hAnsiTheme="majorBidi" w:cstheme="majorBidi"/>
          <w:b w:val="0"/>
          <w:bCs w:val="0"/>
          <w:sz w:val="28"/>
          <w:szCs w:val="28"/>
        </w:rPr>
        <w:t>hypodiploidy</w:t>
      </w:r>
      <w:proofErr w:type="spellEnd"/>
      <w:r w:rsidRPr="007259E4">
        <w:rPr>
          <w:rFonts w:asciiTheme="majorBidi" w:hAnsiTheme="majorBidi" w:cstheme="majorBidi"/>
          <w:b w:val="0"/>
          <w:bCs w:val="0"/>
          <w:sz w:val="28"/>
          <w:szCs w:val="28"/>
        </w:rPr>
        <w:t xml:space="preserve">, </w:t>
      </w:r>
      <w:proofErr w:type="gramStart"/>
      <w:r w:rsidRPr="007259E4">
        <w:rPr>
          <w:rFonts w:asciiTheme="majorBidi" w:hAnsiTheme="majorBidi" w:cstheme="majorBidi"/>
          <w:b w:val="0"/>
          <w:bCs w:val="0"/>
          <w:sz w:val="28"/>
          <w:szCs w:val="28"/>
        </w:rPr>
        <w:t>t(</w:t>
      </w:r>
      <w:proofErr w:type="gramEnd"/>
      <w:r w:rsidRPr="007259E4">
        <w:rPr>
          <w:rFonts w:asciiTheme="majorBidi" w:hAnsiTheme="majorBidi" w:cstheme="majorBidi"/>
          <w:b w:val="0"/>
          <w:bCs w:val="0"/>
          <w:sz w:val="28"/>
          <w:szCs w:val="28"/>
        </w:rPr>
        <w:t>9;22), 11q23, iAMP21)</w:t>
      </w:r>
      <w:r w:rsidRPr="007259E4">
        <w:rPr>
          <w:rFonts w:asciiTheme="majorBidi" w:hAnsiTheme="majorBidi" w:cstheme="majorBidi"/>
          <w:b w:val="0"/>
          <w:bCs w:val="0"/>
          <w:i/>
          <w:iCs/>
          <w:sz w:val="28"/>
          <w:szCs w:val="28"/>
        </w:rPr>
        <w:t>.</w:t>
      </w:r>
    </w:p>
    <w:p w:rsidR="007259E4" w:rsidRPr="007259E4" w:rsidRDefault="007259E4" w:rsidP="00DD1F38">
      <w:pPr>
        <w:pStyle w:val="Heading8"/>
        <w:numPr>
          <w:ilvl w:val="0"/>
          <w:numId w:val="12"/>
        </w:numPr>
        <w:spacing w:line="360" w:lineRule="auto"/>
        <w:jc w:val="lowKashida"/>
        <w:rPr>
          <w:rFonts w:asciiTheme="majorBidi" w:hAnsiTheme="majorBidi" w:cstheme="majorBidi"/>
          <w:b w:val="0"/>
          <w:bCs w:val="0"/>
          <w:i/>
          <w:iCs/>
          <w:sz w:val="28"/>
          <w:szCs w:val="28"/>
        </w:rPr>
      </w:pPr>
      <w:proofErr w:type="gramStart"/>
      <w:r w:rsidRPr="007259E4">
        <w:rPr>
          <w:rFonts w:asciiTheme="majorBidi" w:hAnsiTheme="majorBidi" w:cstheme="majorBidi"/>
          <w:b w:val="0"/>
          <w:bCs w:val="0"/>
          <w:sz w:val="28"/>
          <w:szCs w:val="28"/>
        </w:rPr>
        <w:t>Suboptimal induction response (induction failure or positive minimum residual disease).</w:t>
      </w:r>
      <w:proofErr w:type="gramEnd"/>
    </w:p>
    <w:p w:rsidR="00AB59F6" w:rsidRPr="009E5FA7" w:rsidRDefault="00AB59F6" w:rsidP="00553713">
      <w:pPr>
        <w:pStyle w:val="Heading8"/>
        <w:spacing w:line="360" w:lineRule="auto"/>
        <w:ind w:left="0" w:right="1031"/>
        <w:jc w:val="lowKashida"/>
        <w:rPr>
          <w:rFonts w:asciiTheme="majorBidi" w:hAnsiTheme="majorBidi" w:cstheme="majorBidi"/>
          <w:b w:val="0"/>
          <w:bCs w:val="0"/>
          <w:sz w:val="28"/>
          <w:szCs w:val="28"/>
        </w:rPr>
      </w:pPr>
    </w:p>
    <w:p w:rsidR="00AE53AC" w:rsidRDefault="00553713" w:rsidP="00553713">
      <w:pPr>
        <w:pStyle w:val="Heading8"/>
        <w:spacing w:line="360" w:lineRule="auto"/>
        <w:ind w:left="0" w:right="1031"/>
        <w:jc w:val="lowKashida"/>
        <w:rPr>
          <w:rFonts w:asciiTheme="majorBidi" w:hAnsiTheme="majorBidi" w:cstheme="majorBidi"/>
          <w:sz w:val="28"/>
          <w:szCs w:val="28"/>
          <w:u w:val="single"/>
        </w:rPr>
      </w:pPr>
      <w:r>
        <w:rPr>
          <w:rFonts w:asciiTheme="majorBidi" w:hAnsiTheme="majorBidi" w:cstheme="majorBidi"/>
          <w:sz w:val="28"/>
          <w:szCs w:val="28"/>
          <w:u w:val="single"/>
        </w:rPr>
        <w:t>-</w:t>
      </w:r>
      <w:r w:rsidR="00AE53AC" w:rsidRPr="00553713">
        <w:rPr>
          <w:rFonts w:asciiTheme="majorBidi" w:hAnsiTheme="majorBidi" w:cstheme="majorBidi"/>
          <w:sz w:val="28"/>
          <w:szCs w:val="28"/>
          <w:u w:val="single"/>
        </w:rPr>
        <w:t>Treatment strategies of ALL:</w:t>
      </w:r>
    </w:p>
    <w:p w:rsidR="004C795C" w:rsidRDefault="00B701F5" w:rsidP="004C795C">
      <w:pPr>
        <w:pStyle w:val="Heading8"/>
        <w:spacing w:line="360" w:lineRule="auto"/>
        <w:ind w:left="0" w:right="1031"/>
        <w:jc w:val="lowKashida"/>
      </w:pPr>
      <w:r>
        <w:rPr>
          <w:rFonts w:asciiTheme="majorBidi" w:hAnsiTheme="majorBidi" w:cstheme="majorBidi"/>
          <w:sz w:val="28"/>
          <w:szCs w:val="28"/>
        </w:rPr>
        <w:t>1-</w:t>
      </w:r>
      <w:proofErr w:type="gramStart"/>
      <w:r w:rsidRPr="00B701F5">
        <w:rPr>
          <w:rFonts w:asciiTheme="majorBidi" w:hAnsiTheme="majorBidi" w:cstheme="majorBidi"/>
          <w:sz w:val="28"/>
          <w:szCs w:val="28"/>
        </w:rPr>
        <w:t>Treatment  of</w:t>
      </w:r>
      <w:proofErr w:type="gramEnd"/>
      <w:r w:rsidRPr="00B701F5">
        <w:rPr>
          <w:rFonts w:asciiTheme="majorBidi" w:hAnsiTheme="majorBidi" w:cstheme="majorBidi"/>
          <w:sz w:val="28"/>
          <w:szCs w:val="28"/>
        </w:rPr>
        <w:t xml:space="preserve">  newly  diagnosed ALL</w:t>
      </w:r>
      <w:r>
        <w:t>:</w:t>
      </w:r>
    </w:p>
    <w:p w:rsidR="00FD1D8B" w:rsidRPr="004C795C" w:rsidRDefault="00B701F5" w:rsidP="004C795C">
      <w:pPr>
        <w:pStyle w:val="Heading8"/>
        <w:spacing w:line="360" w:lineRule="auto"/>
        <w:ind w:left="0" w:right="1031"/>
        <w:jc w:val="lowKashida"/>
        <w:rPr>
          <w:rFonts w:asciiTheme="majorBidi" w:hAnsiTheme="majorBidi" w:cstheme="majorBidi"/>
          <w:sz w:val="28"/>
          <w:szCs w:val="28"/>
          <w:u w:val="single"/>
        </w:rPr>
      </w:pPr>
      <w:r>
        <w:rPr>
          <w:rFonts w:asciiTheme="majorBidi" w:hAnsiTheme="majorBidi"/>
          <w:sz w:val="28"/>
          <w:szCs w:val="28"/>
        </w:rPr>
        <w:t>A-</w:t>
      </w:r>
      <w:r w:rsidR="00FD1D8B" w:rsidRPr="003C5CD9">
        <w:rPr>
          <w:rFonts w:asciiTheme="majorBidi" w:hAnsiTheme="majorBidi"/>
          <w:sz w:val="28"/>
          <w:szCs w:val="28"/>
        </w:rPr>
        <w:t>Chemotherapy:</w:t>
      </w:r>
    </w:p>
    <w:p w:rsidR="00B701F5" w:rsidRDefault="00D844FE" w:rsidP="00B701F5">
      <w:pPr>
        <w:pStyle w:val="ListParagraph"/>
        <w:numPr>
          <w:ilvl w:val="1"/>
          <w:numId w:val="14"/>
        </w:numPr>
        <w:bidi w:val="0"/>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I</w:t>
      </w:r>
      <w:r w:rsidR="00FD1D8B" w:rsidRPr="00D80B1D">
        <w:rPr>
          <w:rFonts w:asciiTheme="majorBidi" w:hAnsiTheme="majorBidi" w:cstheme="majorBidi"/>
          <w:b/>
          <w:bCs/>
          <w:sz w:val="28"/>
          <w:szCs w:val="28"/>
        </w:rPr>
        <w:t>nduction</w:t>
      </w:r>
      <w:r w:rsidR="00D80B1D" w:rsidRPr="00D80B1D">
        <w:rPr>
          <w:rFonts w:asciiTheme="majorBidi" w:hAnsiTheme="majorBidi" w:cstheme="majorBidi"/>
          <w:b/>
          <w:bCs/>
          <w:sz w:val="28"/>
          <w:szCs w:val="28"/>
        </w:rPr>
        <w:t xml:space="preserve"> </w:t>
      </w:r>
      <w:r w:rsidR="00D80B1D" w:rsidRPr="003C5CD9">
        <w:rPr>
          <w:rFonts w:asciiTheme="majorBidi" w:hAnsiTheme="majorBidi" w:cstheme="majorBidi"/>
          <w:b/>
          <w:bCs/>
          <w:sz w:val="28"/>
          <w:szCs w:val="28"/>
        </w:rPr>
        <w:t>Therapy</w:t>
      </w:r>
      <w:r w:rsidR="00FD1D8B" w:rsidRPr="00D80B1D">
        <w:rPr>
          <w:rFonts w:asciiTheme="majorBidi" w:hAnsiTheme="majorBidi" w:cstheme="majorBidi"/>
          <w:b/>
          <w:bCs/>
          <w:sz w:val="28"/>
          <w:szCs w:val="28"/>
        </w:rPr>
        <w:t xml:space="preserve"> </w:t>
      </w:r>
      <w:r w:rsidR="00D80B1D" w:rsidRPr="00D80B1D">
        <w:rPr>
          <w:rFonts w:asciiTheme="majorBidi" w:hAnsiTheme="majorBidi" w:cstheme="majorBidi"/>
          <w:b/>
          <w:bCs/>
          <w:sz w:val="28"/>
          <w:szCs w:val="28"/>
        </w:rPr>
        <w:t>:</w:t>
      </w:r>
    </w:p>
    <w:p w:rsidR="007F3187" w:rsidRPr="00B701F5" w:rsidRDefault="00B701F5" w:rsidP="00B701F5">
      <w:pPr>
        <w:pStyle w:val="ListParagraph"/>
        <w:bidi w:val="0"/>
        <w:spacing w:line="360" w:lineRule="auto"/>
        <w:ind w:left="0"/>
        <w:jc w:val="lowKashida"/>
        <w:rPr>
          <w:rFonts w:asciiTheme="majorBidi" w:hAnsiTheme="majorBidi" w:cstheme="majorBidi"/>
          <w:b/>
          <w:bCs/>
          <w:sz w:val="28"/>
          <w:szCs w:val="28"/>
        </w:rPr>
      </w:pPr>
      <w:r>
        <w:rPr>
          <w:rFonts w:asciiTheme="majorBidi" w:hAnsiTheme="majorBidi" w:cstheme="majorBidi"/>
          <w:sz w:val="28"/>
          <w:szCs w:val="28"/>
        </w:rPr>
        <w:t xml:space="preserve">     </w:t>
      </w:r>
      <w:r w:rsidR="00D80B1D" w:rsidRPr="00B701F5">
        <w:rPr>
          <w:rFonts w:asciiTheme="majorBidi" w:hAnsiTheme="majorBidi" w:cstheme="majorBidi"/>
          <w:sz w:val="28"/>
          <w:szCs w:val="28"/>
        </w:rPr>
        <w:t xml:space="preserve">Remission induction </w:t>
      </w:r>
      <w:r w:rsidR="00FD1D8B" w:rsidRPr="00B701F5">
        <w:rPr>
          <w:rFonts w:asciiTheme="majorBidi" w:hAnsiTheme="majorBidi" w:cstheme="majorBidi"/>
          <w:sz w:val="28"/>
          <w:szCs w:val="28"/>
        </w:rPr>
        <w:t xml:space="preserve">is the first block of chemotherapy, lasting 4 to 6 </w:t>
      </w:r>
      <w:r w:rsidR="00940085" w:rsidRPr="00B701F5">
        <w:rPr>
          <w:rFonts w:asciiTheme="majorBidi" w:hAnsiTheme="majorBidi" w:cstheme="majorBidi"/>
          <w:sz w:val="28"/>
          <w:szCs w:val="28"/>
        </w:rPr>
        <w:t>weeks. The</w:t>
      </w:r>
      <w:r w:rsidR="00FD1D8B" w:rsidRPr="00B701F5">
        <w:rPr>
          <w:rFonts w:asciiTheme="majorBidi" w:hAnsiTheme="majorBidi" w:cstheme="majorBidi"/>
          <w:sz w:val="28"/>
          <w:szCs w:val="28"/>
        </w:rPr>
        <w:t xml:space="preserve"> goal of this therapy is to induce a complete remission by its completion, with approximately 95% of all patients achieving this benchmark</w:t>
      </w:r>
      <w:r w:rsidR="007F3187" w:rsidRPr="00B701F5">
        <w:rPr>
          <w:rFonts w:asciiTheme="majorBidi" w:hAnsiTheme="majorBidi" w:cstheme="majorBidi"/>
          <w:sz w:val="28"/>
          <w:szCs w:val="28"/>
        </w:rPr>
        <w:t xml:space="preserve"> </w:t>
      </w:r>
      <w:r w:rsidR="007F3187" w:rsidRPr="00B701F5">
        <w:rPr>
          <w:rFonts w:asciiTheme="majorBidi" w:hAnsiTheme="majorBidi" w:cstheme="majorBidi"/>
          <w:b/>
          <w:bCs/>
          <w:i/>
          <w:iCs/>
          <w:sz w:val="28"/>
          <w:szCs w:val="28"/>
        </w:rPr>
        <w:t>(</w:t>
      </w:r>
      <w:proofErr w:type="spellStart"/>
      <w:r w:rsidR="007F3187" w:rsidRPr="00B701F5">
        <w:rPr>
          <w:rFonts w:asciiTheme="majorBidi" w:hAnsiTheme="majorBidi" w:cstheme="majorBidi"/>
          <w:b/>
          <w:bCs/>
          <w:i/>
          <w:iCs/>
          <w:sz w:val="28"/>
          <w:szCs w:val="28"/>
        </w:rPr>
        <w:t>Schrappe</w:t>
      </w:r>
      <w:proofErr w:type="spellEnd"/>
      <w:r w:rsidR="007F3187" w:rsidRPr="00B701F5">
        <w:rPr>
          <w:rFonts w:asciiTheme="majorBidi" w:hAnsiTheme="majorBidi" w:cstheme="majorBidi"/>
          <w:b/>
          <w:bCs/>
          <w:i/>
          <w:iCs/>
          <w:sz w:val="28"/>
          <w:szCs w:val="28"/>
        </w:rPr>
        <w:t xml:space="preserve"> et al., 2012)</w:t>
      </w:r>
      <w:r w:rsidR="00FD1D8B" w:rsidRPr="00B701F5">
        <w:rPr>
          <w:rFonts w:asciiTheme="majorBidi" w:hAnsiTheme="majorBidi" w:cstheme="majorBidi"/>
          <w:b/>
          <w:bCs/>
          <w:i/>
          <w:iCs/>
          <w:sz w:val="28"/>
          <w:szCs w:val="28"/>
        </w:rPr>
        <w:t>.</w:t>
      </w:r>
      <w:r w:rsidR="007F3187" w:rsidRPr="00B701F5">
        <w:rPr>
          <w:rFonts w:asciiTheme="majorBidi" w:hAnsiTheme="majorBidi" w:cstheme="majorBidi"/>
          <w:b/>
          <w:bCs/>
          <w:i/>
          <w:iCs/>
          <w:sz w:val="28"/>
          <w:szCs w:val="28"/>
        </w:rPr>
        <w:t xml:space="preserve"> </w:t>
      </w:r>
    </w:p>
    <w:p w:rsidR="00FD1D8B" w:rsidRDefault="00B701F5" w:rsidP="00B701F5">
      <w:pPr>
        <w:pStyle w:val="ListParagraph"/>
        <w:bidi w:val="0"/>
        <w:spacing w:line="360" w:lineRule="auto"/>
        <w:ind w:left="0"/>
        <w:jc w:val="lowKashida"/>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007F3187" w:rsidRPr="007F3187">
        <w:rPr>
          <w:rFonts w:asciiTheme="majorBidi" w:hAnsiTheme="majorBidi" w:cstheme="majorBidi"/>
          <w:sz w:val="28"/>
          <w:szCs w:val="28"/>
        </w:rPr>
        <w:t xml:space="preserve">The agents used during induction include vincristine, corticosteroids, and </w:t>
      </w:r>
      <w:proofErr w:type="spellStart"/>
      <w:r w:rsidR="007F3187" w:rsidRPr="007F3187">
        <w:rPr>
          <w:rFonts w:asciiTheme="majorBidi" w:hAnsiTheme="majorBidi" w:cstheme="majorBidi"/>
          <w:sz w:val="28"/>
          <w:szCs w:val="28"/>
        </w:rPr>
        <w:t>asparaginase</w:t>
      </w:r>
      <w:proofErr w:type="spellEnd"/>
      <w:r w:rsidR="007F3187" w:rsidRPr="007F3187">
        <w:rPr>
          <w:rFonts w:asciiTheme="majorBidi" w:hAnsiTheme="majorBidi" w:cstheme="majorBidi"/>
          <w:sz w:val="28"/>
          <w:szCs w:val="28"/>
        </w:rPr>
        <w:t>, with most regimens adding an anthracycline (usual</w:t>
      </w:r>
      <w:r w:rsidR="00940085">
        <w:rPr>
          <w:rFonts w:asciiTheme="majorBidi" w:hAnsiTheme="majorBidi" w:cstheme="majorBidi"/>
          <w:sz w:val="28"/>
          <w:szCs w:val="28"/>
        </w:rPr>
        <w:t xml:space="preserve">ly doxorubicin or </w:t>
      </w:r>
      <w:proofErr w:type="spellStart"/>
      <w:r w:rsidR="00940085">
        <w:rPr>
          <w:rFonts w:asciiTheme="majorBidi" w:hAnsiTheme="majorBidi" w:cstheme="majorBidi"/>
          <w:sz w:val="28"/>
          <w:szCs w:val="28"/>
        </w:rPr>
        <w:t>daunorubicin</w:t>
      </w:r>
      <w:proofErr w:type="spellEnd"/>
      <w:r w:rsidR="00940085">
        <w:rPr>
          <w:rFonts w:asciiTheme="majorBidi" w:hAnsiTheme="majorBidi" w:cstheme="majorBidi"/>
          <w:sz w:val="28"/>
          <w:szCs w:val="28"/>
        </w:rPr>
        <w:t>)</w:t>
      </w:r>
      <w:r w:rsidR="007F3187" w:rsidRPr="007F3187">
        <w:rPr>
          <w:rFonts w:asciiTheme="majorBidi" w:hAnsiTheme="majorBidi" w:cstheme="majorBidi"/>
          <w:sz w:val="28"/>
          <w:szCs w:val="28"/>
        </w:rPr>
        <w:t>. The corticosteroid used is usually prednisone or dexamethasone, with dexamethasone demonstrating improved CNS penetration</w:t>
      </w:r>
      <w:r w:rsidR="007F3187">
        <w:rPr>
          <w:rFonts w:asciiTheme="majorBidi" w:hAnsiTheme="majorBidi" w:cstheme="majorBidi"/>
          <w:sz w:val="28"/>
          <w:szCs w:val="28"/>
        </w:rPr>
        <w:t xml:space="preserve"> and decreased risk of relapse </w:t>
      </w:r>
      <w:r w:rsidR="007F3187" w:rsidRPr="007F3187">
        <w:rPr>
          <w:rFonts w:asciiTheme="majorBidi" w:hAnsiTheme="majorBidi" w:cstheme="majorBidi"/>
          <w:b/>
          <w:bCs/>
          <w:i/>
          <w:iCs/>
          <w:sz w:val="28"/>
          <w:szCs w:val="28"/>
        </w:rPr>
        <w:t>(</w:t>
      </w:r>
      <w:proofErr w:type="spellStart"/>
      <w:r w:rsidR="007F3187" w:rsidRPr="007F3187">
        <w:rPr>
          <w:rFonts w:asciiTheme="majorBidi" w:hAnsiTheme="majorBidi" w:cstheme="majorBidi"/>
          <w:b/>
          <w:bCs/>
          <w:i/>
          <w:iCs/>
          <w:sz w:val="28"/>
          <w:szCs w:val="28"/>
        </w:rPr>
        <w:t>Escherich</w:t>
      </w:r>
      <w:proofErr w:type="spellEnd"/>
      <w:r w:rsidR="007F3187" w:rsidRPr="007F3187">
        <w:rPr>
          <w:rFonts w:asciiTheme="majorBidi" w:hAnsiTheme="majorBidi" w:cstheme="majorBidi"/>
          <w:b/>
          <w:bCs/>
          <w:i/>
          <w:iCs/>
          <w:sz w:val="28"/>
          <w:szCs w:val="28"/>
        </w:rPr>
        <w:t xml:space="preserve"> et al., 2013).</w:t>
      </w:r>
    </w:p>
    <w:p w:rsidR="007F3187" w:rsidRDefault="00E6013D" w:rsidP="00B701F5">
      <w:pPr>
        <w:pStyle w:val="ListParagraph"/>
        <w:bidi w:val="0"/>
        <w:spacing w:line="360" w:lineRule="auto"/>
        <w:ind w:left="0"/>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Pr="007F3187">
        <w:rPr>
          <w:rFonts w:asciiTheme="majorBidi" w:hAnsiTheme="majorBidi" w:cstheme="majorBidi"/>
          <w:sz w:val="28"/>
          <w:szCs w:val="28"/>
        </w:rPr>
        <w:t>Evaluation of bone marrow MRD at the end of induction has proved to be an independent factor predicting outcome, and has also been shown to be useful in the peripheral bloo</w:t>
      </w:r>
      <w:r>
        <w:rPr>
          <w:rFonts w:asciiTheme="majorBidi" w:hAnsiTheme="majorBidi" w:cstheme="majorBidi"/>
          <w:sz w:val="28"/>
          <w:szCs w:val="28"/>
        </w:rPr>
        <w:t xml:space="preserve">d as early as day 8 of therapy. </w:t>
      </w:r>
      <w:r w:rsidRPr="007F3187">
        <w:rPr>
          <w:rFonts w:asciiTheme="majorBidi" w:hAnsiTheme="majorBidi" w:cstheme="majorBidi"/>
          <w:sz w:val="28"/>
          <w:szCs w:val="28"/>
        </w:rPr>
        <w:t>End-induction MRD has been established in the r</w:t>
      </w:r>
      <w:r>
        <w:rPr>
          <w:rFonts w:asciiTheme="majorBidi" w:hAnsiTheme="majorBidi" w:cstheme="majorBidi"/>
          <w:sz w:val="28"/>
          <w:szCs w:val="28"/>
        </w:rPr>
        <w:t xml:space="preserve">isk stratification of </w:t>
      </w:r>
      <w:proofErr w:type="spellStart"/>
      <w:r>
        <w:rPr>
          <w:rFonts w:asciiTheme="majorBidi" w:hAnsiTheme="majorBidi" w:cstheme="majorBidi"/>
          <w:sz w:val="28"/>
          <w:szCs w:val="28"/>
        </w:rPr>
        <w:t>Bp</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ALL</w:t>
      </w:r>
      <w:r w:rsidR="007F3187" w:rsidRPr="007F3187">
        <w:rPr>
          <w:rFonts w:asciiTheme="majorBidi" w:hAnsiTheme="majorBidi" w:cstheme="majorBidi"/>
          <w:sz w:val="28"/>
          <w:szCs w:val="28"/>
        </w:rPr>
        <w:t xml:space="preserve">. This technique uses flow cytometry or the polymerase chain reaction (PCR) to assess for disease at a significantly lower limit of detection (1 leukemic blast in 10,000– 100,000 cells) </w:t>
      </w:r>
      <w:r w:rsidR="00D42A17" w:rsidRPr="00D42A17">
        <w:rPr>
          <w:rFonts w:asciiTheme="majorBidi" w:hAnsiTheme="majorBidi" w:cstheme="majorBidi"/>
          <w:b/>
          <w:bCs/>
          <w:i/>
          <w:iCs/>
          <w:sz w:val="28"/>
          <w:szCs w:val="28"/>
        </w:rPr>
        <w:t>(</w:t>
      </w:r>
      <w:proofErr w:type="spellStart"/>
      <w:r w:rsidR="00D42A17" w:rsidRPr="00D42A17">
        <w:rPr>
          <w:rFonts w:asciiTheme="majorBidi" w:hAnsiTheme="majorBidi" w:cstheme="majorBidi"/>
          <w:b/>
          <w:bCs/>
          <w:i/>
          <w:iCs/>
          <w:sz w:val="28"/>
          <w:szCs w:val="28"/>
        </w:rPr>
        <w:t>Borowitz</w:t>
      </w:r>
      <w:proofErr w:type="spellEnd"/>
      <w:r w:rsidR="00D42A17" w:rsidRPr="00D42A17">
        <w:rPr>
          <w:rFonts w:asciiTheme="majorBidi" w:hAnsiTheme="majorBidi" w:cstheme="majorBidi"/>
          <w:b/>
          <w:bCs/>
          <w:i/>
          <w:iCs/>
          <w:sz w:val="28"/>
          <w:szCs w:val="28"/>
        </w:rPr>
        <w:t xml:space="preserve"> et al., 2008).</w:t>
      </w:r>
    </w:p>
    <w:p w:rsidR="00E6013D" w:rsidRDefault="00E6013D" w:rsidP="00D80B1D">
      <w:pPr>
        <w:pStyle w:val="ListParagraph"/>
        <w:bidi w:val="0"/>
        <w:spacing w:line="360" w:lineRule="auto"/>
        <w:ind w:left="0"/>
        <w:jc w:val="lowKashida"/>
        <w:rPr>
          <w:rFonts w:asciiTheme="majorBidi" w:hAnsiTheme="majorBidi" w:cstheme="majorBidi"/>
          <w:sz w:val="28"/>
          <w:szCs w:val="28"/>
        </w:rPr>
      </w:pPr>
      <w:r>
        <w:rPr>
          <w:rFonts w:asciiTheme="majorBidi" w:hAnsiTheme="majorBidi" w:cstheme="majorBidi"/>
          <w:sz w:val="28"/>
          <w:szCs w:val="28"/>
        </w:rPr>
        <w:t xml:space="preserve">     </w:t>
      </w:r>
      <w:proofErr w:type="gramStart"/>
      <w:r w:rsidRPr="003B2208">
        <w:rPr>
          <w:rFonts w:asciiTheme="majorBidi" w:hAnsiTheme="majorBidi" w:cstheme="majorBidi"/>
          <w:sz w:val="28"/>
          <w:szCs w:val="28"/>
        </w:rPr>
        <w:t xml:space="preserve">Children </w:t>
      </w:r>
      <w:r w:rsidR="00151246" w:rsidRPr="003B2208">
        <w:rPr>
          <w:rFonts w:asciiTheme="majorBidi" w:hAnsiTheme="majorBidi" w:cstheme="majorBidi"/>
          <w:sz w:val="28"/>
          <w:szCs w:val="28"/>
        </w:rPr>
        <w:t>in "complete</w:t>
      </w:r>
      <w:r w:rsidRPr="003B2208">
        <w:rPr>
          <w:rFonts w:asciiTheme="majorBidi" w:hAnsiTheme="majorBidi" w:cstheme="majorBidi"/>
          <w:sz w:val="28"/>
          <w:szCs w:val="28"/>
        </w:rPr>
        <w:t xml:space="preserve"> remission” (CR) must have no physical evidence of </w:t>
      </w:r>
      <w:r w:rsidR="00151246" w:rsidRPr="003B2208">
        <w:rPr>
          <w:rFonts w:asciiTheme="majorBidi" w:hAnsiTheme="majorBidi" w:cstheme="majorBidi"/>
          <w:sz w:val="28"/>
          <w:szCs w:val="28"/>
        </w:rPr>
        <w:t>leukemia</w:t>
      </w:r>
      <w:r w:rsidRPr="003B2208">
        <w:rPr>
          <w:rFonts w:asciiTheme="majorBidi" w:hAnsiTheme="majorBidi" w:cstheme="majorBidi"/>
          <w:sz w:val="28"/>
          <w:szCs w:val="28"/>
        </w:rPr>
        <w:t>, normal complete blood cell count and normally regenerating bone marrow (with &lt; 5% leukemic blasts).</w:t>
      </w:r>
      <w:proofErr w:type="gramEnd"/>
      <w:r w:rsidRPr="003B2208">
        <w:rPr>
          <w:rFonts w:asciiTheme="majorBidi" w:hAnsiTheme="majorBidi" w:cstheme="majorBidi"/>
          <w:sz w:val="28"/>
          <w:szCs w:val="28"/>
        </w:rPr>
        <w:t xml:space="preserve"> Information on CR status also includes the absence of detectable CNS or extramedullary disease</w:t>
      </w:r>
      <w:r>
        <w:rPr>
          <w:rFonts w:asciiTheme="majorBidi" w:hAnsiTheme="majorBidi" w:cstheme="majorBidi"/>
          <w:b/>
          <w:bCs/>
          <w:i/>
          <w:iCs/>
          <w:sz w:val="28"/>
          <w:szCs w:val="28"/>
        </w:rPr>
        <w:t xml:space="preserve"> (</w:t>
      </w:r>
      <w:proofErr w:type="spellStart"/>
      <w:r w:rsidRPr="008428F6">
        <w:rPr>
          <w:rFonts w:asciiTheme="majorBidi" w:hAnsiTheme="majorBidi" w:cstheme="majorBidi"/>
          <w:b/>
          <w:bCs/>
          <w:i/>
          <w:iCs/>
          <w:sz w:val="28"/>
          <w:szCs w:val="28"/>
        </w:rPr>
        <w:t>Vrooman</w:t>
      </w:r>
      <w:proofErr w:type="spellEnd"/>
      <w:r w:rsidRPr="008428F6">
        <w:rPr>
          <w:rFonts w:asciiTheme="majorBidi" w:hAnsiTheme="majorBidi" w:cstheme="majorBidi"/>
          <w:b/>
          <w:bCs/>
          <w:i/>
          <w:iCs/>
          <w:sz w:val="28"/>
          <w:szCs w:val="28"/>
        </w:rPr>
        <w:t xml:space="preserve"> </w:t>
      </w:r>
      <w:r>
        <w:rPr>
          <w:rFonts w:asciiTheme="majorBidi" w:hAnsiTheme="majorBidi" w:cstheme="majorBidi"/>
          <w:b/>
          <w:bCs/>
          <w:i/>
          <w:iCs/>
          <w:sz w:val="28"/>
          <w:szCs w:val="28"/>
        </w:rPr>
        <w:t>and</w:t>
      </w:r>
      <w:r w:rsidRPr="008428F6">
        <w:rPr>
          <w:rFonts w:asciiTheme="majorBidi" w:hAnsiTheme="majorBidi" w:cstheme="majorBidi"/>
          <w:b/>
          <w:bCs/>
          <w:i/>
          <w:iCs/>
          <w:sz w:val="28"/>
          <w:szCs w:val="28"/>
        </w:rPr>
        <w:t xml:space="preserve"> Silverman</w:t>
      </w:r>
      <w:proofErr w:type="gramStart"/>
      <w:r>
        <w:rPr>
          <w:rFonts w:asciiTheme="majorBidi" w:hAnsiTheme="majorBidi" w:cstheme="majorBidi"/>
          <w:b/>
          <w:bCs/>
          <w:i/>
          <w:iCs/>
          <w:sz w:val="28"/>
          <w:szCs w:val="28"/>
        </w:rPr>
        <w:t xml:space="preserve">, </w:t>
      </w:r>
      <w:r w:rsidRPr="008428F6">
        <w:rPr>
          <w:rFonts w:asciiTheme="majorBidi" w:hAnsiTheme="majorBidi" w:cstheme="majorBidi"/>
          <w:b/>
          <w:bCs/>
          <w:i/>
          <w:iCs/>
          <w:sz w:val="28"/>
          <w:szCs w:val="28"/>
        </w:rPr>
        <w:t xml:space="preserve"> </w:t>
      </w:r>
      <w:r>
        <w:rPr>
          <w:rFonts w:asciiTheme="majorBidi" w:hAnsiTheme="majorBidi" w:cstheme="majorBidi"/>
          <w:b/>
          <w:bCs/>
          <w:i/>
          <w:iCs/>
          <w:sz w:val="28"/>
          <w:szCs w:val="28"/>
        </w:rPr>
        <w:t>2009</w:t>
      </w:r>
      <w:proofErr w:type="gramEnd"/>
      <w:r>
        <w:rPr>
          <w:rFonts w:asciiTheme="majorBidi" w:hAnsiTheme="majorBidi" w:cstheme="majorBidi"/>
          <w:b/>
          <w:bCs/>
          <w:i/>
          <w:iCs/>
          <w:sz w:val="28"/>
          <w:szCs w:val="28"/>
        </w:rPr>
        <w:t>).</w:t>
      </w:r>
    </w:p>
    <w:p w:rsidR="00933C01" w:rsidRPr="00D80B1D" w:rsidRDefault="00D80B1D" w:rsidP="00D80B1D">
      <w:pPr>
        <w:pStyle w:val="ListParagraph"/>
        <w:numPr>
          <w:ilvl w:val="1"/>
          <w:numId w:val="6"/>
        </w:numPr>
        <w:bidi w:val="0"/>
        <w:spacing w:line="360" w:lineRule="auto"/>
        <w:jc w:val="lowKashida"/>
        <w:rPr>
          <w:rFonts w:asciiTheme="majorBidi" w:hAnsiTheme="majorBidi" w:cstheme="majorBidi"/>
          <w:b/>
          <w:bCs/>
          <w:sz w:val="28"/>
          <w:szCs w:val="28"/>
        </w:rPr>
      </w:pPr>
      <w:r w:rsidRPr="00D80B1D">
        <w:rPr>
          <w:rFonts w:asciiTheme="majorBidi" w:hAnsiTheme="majorBidi" w:cstheme="majorBidi"/>
          <w:b/>
          <w:bCs/>
          <w:sz w:val="28"/>
          <w:szCs w:val="28"/>
        </w:rPr>
        <w:t>Consolidation</w:t>
      </w:r>
      <w:r w:rsidR="003C5CD9" w:rsidRPr="00D80B1D">
        <w:rPr>
          <w:rFonts w:asciiTheme="majorBidi" w:hAnsiTheme="majorBidi" w:cstheme="majorBidi"/>
          <w:b/>
          <w:bCs/>
          <w:sz w:val="28"/>
          <w:szCs w:val="28"/>
        </w:rPr>
        <w:t xml:space="preserve"> Therapy:</w:t>
      </w:r>
    </w:p>
    <w:p w:rsidR="0013120D" w:rsidRPr="00697EFE" w:rsidRDefault="00D80B1D" w:rsidP="00697EFE">
      <w:pPr>
        <w:pStyle w:val="ListParagraph"/>
        <w:bidi w:val="0"/>
        <w:spacing w:line="360" w:lineRule="auto"/>
        <w:ind w:left="0"/>
        <w:jc w:val="lowKashida"/>
        <w:rPr>
          <w:rFonts w:asciiTheme="majorBidi" w:hAnsiTheme="majorBidi" w:cstheme="majorBidi"/>
          <w:b/>
          <w:bCs/>
          <w:i/>
          <w:iCs/>
          <w:sz w:val="28"/>
          <w:szCs w:val="28"/>
        </w:rPr>
      </w:pPr>
      <w:r>
        <w:t xml:space="preserve">       </w:t>
      </w:r>
      <w:r w:rsidRPr="0013120D">
        <w:rPr>
          <w:rFonts w:asciiTheme="majorBidi" w:hAnsiTheme="majorBidi" w:cstheme="majorBidi"/>
          <w:sz w:val="28"/>
          <w:szCs w:val="28"/>
        </w:rPr>
        <w:t>After induction therapy, subsequent consolidation therapy begins to er</w:t>
      </w:r>
      <w:r w:rsidR="0013120D">
        <w:rPr>
          <w:rFonts w:asciiTheme="majorBidi" w:hAnsiTheme="majorBidi" w:cstheme="majorBidi"/>
          <w:sz w:val="28"/>
          <w:szCs w:val="28"/>
        </w:rPr>
        <w:t xml:space="preserve">adicate residual leukemic cells lasting </w:t>
      </w:r>
      <w:r w:rsidR="0013120D" w:rsidRPr="0013120D">
        <w:rPr>
          <w:rFonts w:asciiTheme="majorBidi" w:hAnsiTheme="majorBidi" w:cstheme="majorBidi"/>
          <w:sz w:val="28"/>
          <w:szCs w:val="28"/>
        </w:rPr>
        <w:t xml:space="preserve">approximately 6 to 9 months. This phase of chemotherapy involves combinations of different chemotherapeutic agents to maximize synergy and minimize drug resistance, often including agents not used in the initial remission induction, such as mercaptopurine, </w:t>
      </w:r>
      <w:proofErr w:type="spellStart"/>
      <w:r w:rsidR="0013120D" w:rsidRPr="0013120D">
        <w:rPr>
          <w:rFonts w:asciiTheme="majorBidi" w:hAnsiTheme="majorBidi" w:cstheme="majorBidi"/>
          <w:sz w:val="28"/>
          <w:szCs w:val="28"/>
        </w:rPr>
        <w:t>thioguanine</w:t>
      </w:r>
      <w:proofErr w:type="spellEnd"/>
      <w:r w:rsidR="0013120D" w:rsidRPr="0013120D">
        <w:rPr>
          <w:rFonts w:asciiTheme="majorBidi" w:hAnsiTheme="majorBidi" w:cstheme="majorBidi"/>
          <w:sz w:val="28"/>
          <w:szCs w:val="28"/>
        </w:rPr>
        <w:t xml:space="preserve">, methotrexate, cyclophosphamide, etoposide, and </w:t>
      </w:r>
      <w:proofErr w:type="spellStart"/>
      <w:r w:rsidR="0013120D" w:rsidRPr="0013120D">
        <w:rPr>
          <w:rFonts w:asciiTheme="majorBidi" w:hAnsiTheme="majorBidi" w:cstheme="majorBidi"/>
          <w:sz w:val="28"/>
          <w:szCs w:val="28"/>
        </w:rPr>
        <w:t>cytarabine</w:t>
      </w:r>
      <w:proofErr w:type="spellEnd"/>
      <w:r w:rsidR="0013120D">
        <w:rPr>
          <w:rFonts w:asciiTheme="majorBidi" w:hAnsiTheme="majorBidi" w:cstheme="majorBidi"/>
          <w:sz w:val="28"/>
          <w:szCs w:val="28"/>
        </w:rPr>
        <w:t xml:space="preserve"> </w:t>
      </w:r>
      <w:r w:rsidR="0013120D" w:rsidRPr="0013120D">
        <w:rPr>
          <w:rFonts w:asciiTheme="majorBidi" w:hAnsiTheme="majorBidi" w:cstheme="majorBidi"/>
          <w:b/>
          <w:bCs/>
          <w:i/>
          <w:iCs/>
          <w:sz w:val="28"/>
          <w:szCs w:val="28"/>
        </w:rPr>
        <w:t>(Seibel et al., 2008).</w:t>
      </w:r>
      <w:r w:rsidRPr="0013120D">
        <w:rPr>
          <w:rFonts w:asciiTheme="majorBidi" w:hAnsiTheme="majorBidi" w:cstheme="majorBidi"/>
          <w:b/>
          <w:bCs/>
          <w:i/>
          <w:iCs/>
          <w:sz w:val="28"/>
          <w:szCs w:val="28"/>
        </w:rPr>
        <w:t xml:space="preserve"> </w:t>
      </w:r>
    </w:p>
    <w:p w:rsidR="0013120D" w:rsidRPr="0013120D" w:rsidRDefault="0013120D" w:rsidP="0013120D">
      <w:pPr>
        <w:pStyle w:val="ListParagraph"/>
        <w:numPr>
          <w:ilvl w:val="1"/>
          <w:numId w:val="6"/>
        </w:numPr>
        <w:bidi w:val="0"/>
        <w:spacing w:line="360" w:lineRule="auto"/>
        <w:jc w:val="lowKashida"/>
        <w:rPr>
          <w:rFonts w:asciiTheme="majorBidi" w:hAnsiTheme="majorBidi" w:cstheme="majorBidi"/>
          <w:b/>
          <w:bCs/>
          <w:sz w:val="28"/>
          <w:szCs w:val="28"/>
        </w:rPr>
      </w:pPr>
      <w:proofErr w:type="spellStart"/>
      <w:r w:rsidRPr="0013120D">
        <w:rPr>
          <w:rFonts w:asciiTheme="majorBidi" w:hAnsiTheme="majorBidi" w:cstheme="majorBidi"/>
          <w:b/>
          <w:bCs/>
          <w:sz w:val="28"/>
          <w:szCs w:val="28"/>
        </w:rPr>
        <w:t>Maintainance</w:t>
      </w:r>
      <w:proofErr w:type="spellEnd"/>
      <w:r w:rsidRPr="0013120D">
        <w:rPr>
          <w:rFonts w:asciiTheme="majorBidi" w:hAnsiTheme="majorBidi" w:cstheme="majorBidi"/>
          <w:b/>
          <w:bCs/>
          <w:sz w:val="28"/>
          <w:szCs w:val="28"/>
        </w:rPr>
        <w:t xml:space="preserve"> therapy:</w:t>
      </w:r>
    </w:p>
    <w:p w:rsidR="00E02F23" w:rsidRDefault="0013120D" w:rsidP="00754096">
      <w:pPr>
        <w:pStyle w:val="ListParagraph"/>
        <w:bidi w:val="0"/>
        <w:spacing w:line="360" w:lineRule="auto"/>
        <w:ind w:left="0"/>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Pr="0013120D">
        <w:rPr>
          <w:rFonts w:asciiTheme="majorBidi" w:hAnsiTheme="majorBidi" w:cstheme="majorBidi"/>
          <w:sz w:val="28"/>
          <w:szCs w:val="28"/>
        </w:rPr>
        <w:t xml:space="preserve">Maintenance chemotherapy is the final and longest stage of treatment in childhood ALL. </w:t>
      </w:r>
      <w:r>
        <w:rPr>
          <w:rFonts w:asciiTheme="majorBidi" w:hAnsiTheme="majorBidi" w:cstheme="majorBidi"/>
          <w:sz w:val="28"/>
          <w:szCs w:val="28"/>
        </w:rPr>
        <w:t>T</w:t>
      </w:r>
      <w:r w:rsidRPr="0013120D">
        <w:rPr>
          <w:rFonts w:asciiTheme="majorBidi" w:hAnsiTheme="majorBidi" w:cstheme="majorBidi"/>
          <w:sz w:val="28"/>
          <w:szCs w:val="28"/>
        </w:rPr>
        <w:t>he prolonged maintenance phase has been demonstrated to lower the risk of relapse once remission has been established. It usually lasts at least 2 years (extended to 3 years for boys</w:t>
      </w:r>
      <w:r w:rsidR="00D844FE">
        <w:rPr>
          <w:rFonts w:asciiTheme="majorBidi" w:hAnsiTheme="majorBidi" w:cstheme="majorBidi"/>
          <w:sz w:val="28"/>
          <w:szCs w:val="28"/>
        </w:rPr>
        <w:t>)</w:t>
      </w:r>
      <w:r w:rsidRPr="0013120D">
        <w:rPr>
          <w:rFonts w:asciiTheme="majorBidi" w:hAnsiTheme="majorBidi" w:cstheme="majorBidi"/>
          <w:sz w:val="28"/>
          <w:szCs w:val="28"/>
        </w:rPr>
        <w:t xml:space="preserve"> in some protocols. The maintenance </w:t>
      </w:r>
      <w:r w:rsidR="00D844FE" w:rsidRPr="0013120D">
        <w:rPr>
          <w:rFonts w:asciiTheme="majorBidi" w:hAnsiTheme="majorBidi" w:cstheme="majorBidi"/>
          <w:sz w:val="28"/>
          <w:szCs w:val="28"/>
        </w:rPr>
        <w:t xml:space="preserve">therapy </w:t>
      </w:r>
      <w:r w:rsidR="00D844FE">
        <w:rPr>
          <w:rFonts w:asciiTheme="majorBidi" w:hAnsiTheme="majorBidi" w:cstheme="majorBidi"/>
          <w:sz w:val="28"/>
          <w:szCs w:val="28"/>
        </w:rPr>
        <w:t>agents</w:t>
      </w:r>
      <w:r>
        <w:rPr>
          <w:rFonts w:asciiTheme="majorBidi" w:hAnsiTheme="majorBidi" w:cstheme="majorBidi"/>
          <w:sz w:val="28"/>
          <w:szCs w:val="28"/>
        </w:rPr>
        <w:t xml:space="preserve"> are</w:t>
      </w:r>
      <w:r w:rsidRPr="0013120D">
        <w:rPr>
          <w:rFonts w:asciiTheme="majorBidi" w:hAnsiTheme="majorBidi" w:cstheme="majorBidi"/>
          <w:sz w:val="28"/>
          <w:szCs w:val="28"/>
        </w:rPr>
        <w:t xml:space="preserve"> antimetabolite therapy with methotrexate and mercaptopurine, both available in oral formulations, making strict adherence crucial</w:t>
      </w:r>
      <w:r w:rsidR="00754096">
        <w:rPr>
          <w:rFonts w:asciiTheme="majorBidi" w:hAnsiTheme="majorBidi" w:cstheme="majorBidi"/>
          <w:sz w:val="28"/>
          <w:szCs w:val="28"/>
        </w:rPr>
        <w:t xml:space="preserve"> </w:t>
      </w:r>
      <w:r w:rsidR="00754096" w:rsidRPr="00754096">
        <w:rPr>
          <w:rFonts w:asciiTheme="majorBidi" w:hAnsiTheme="majorBidi" w:cstheme="majorBidi"/>
          <w:b/>
          <w:bCs/>
          <w:i/>
          <w:iCs/>
          <w:sz w:val="28"/>
          <w:szCs w:val="28"/>
        </w:rPr>
        <w:t>(Bhatia et al.</w:t>
      </w:r>
      <w:r w:rsidR="007422A1">
        <w:rPr>
          <w:rFonts w:asciiTheme="majorBidi" w:hAnsiTheme="majorBidi" w:cstheme="majorBidi"/>
          <w:b/>
          <w:bCs/>
          <w:i/>
          <w:iCs/>
          <w:sz w:val="28"/>
          <w:szCs w:val="28"/>
        </w:rPr>
        <w:t>,</w:t>
      </w:r>
      <w:r w:rsidR="00754096" w:rsidRPr="00754096">
        <w:rPr>
          <w:rFonts w:asciiTheme="majorBidi" w:hAnsiTheme="majorBidi" w:cstheme="majorBidi"/>
          <w:b/>
          <w:bCs/>
          <w:i/>
          <w:iCs/>
          <w:sz w:val="28"/>
          <w:szCs w:val="28"/>
        </w:rPr>
        <w:t xml:space="preserve"> 2012)</w:t>
      </w:r>
      <w:r w:rsidRPr="00754096">
        <w:rPr>
          <w:rFonts w:asciiTheme="majorBidi" w:hAnsiTheme="majorBidi" w:cstheme="majorBidi"/>
          <w:b/>
          <w:bCs/>
          <w:i/>
          <w:iCs/>
          <w:sz w:val="28"/>
          <w:szCs w:val="28"/>
        </w:rPr>
        <w:t>.</w:t>
      </w:r>
    </w:p>
    <w:p w:rsidR="00CE5139" w:rsidRDefault="00CE5139" w:rsidP="00E02F23">
      <w:pPr>
        <w:pStyle w:val="ListParagraph"/>
        <w:bidi w:val="0"/>
        <w:spacing w:line="360" w:lineRule="auto"/>
        <w:ind w:left="0"/>
        <w:jc w:val="lowKashida"/>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p>
    <w:p w:rsidR="00697EFE" w:rsidRDefault="00697EFE" w:rsidP="00CE5139">
      <w:pPr>
        <w:pStyle w:val="ListParagraph"/>
        <w:bidi w:val="0"/>
        <w:spacing w:line="360" w:lineRule="auto"/>
        <w:ind w:left="0"/>
        <w:jc w:val="lowKashida"/>
        <w:rPr>
          <w:rFonts w:asciiTheme="majorBidi" w:hAnsiTheme="majorBidi" w:cstheme="majorBidi"/>
          <w:b/>
          <w:bCs/>
          <w:sz w:val="28"/>
          <w:szCs w:val="28"/>
          <w:lang w:bidi="ar-EG"/>
        </w:rPr>
      </w:pPr>
    </w:p>
    <w:p w:rsidR="00697EFE" w:rsidRDefault="00697EFE" w:rsidP="00697EFE">
      <w:pPr>
        <w:pStyle w:val="ListParagraph"/>
        <w:bidi w:val="0"/>
        <w:spacing w:line="360" w:lineRule="auto"/>
        <w:ind w:left="0"/>
        <w:jc w:val="lowKashida"/>
        <w:rPr>
          <w:rFonts w:asciiTheme="majorBidi" w:hAnsiTheme="majorBidi" w:cstheme="majorBidi"/>
          <w:b/>
          <w:bCs/>
          <w:sz w:val="28"/>
          <w:szCs w:val="28"/>
          <w:lang w:bidi="ar-EG"/>
        </w:rPr>
      </w:pPr>
    </w:p>
    <w:p w:rsidR="004C795C" w:rsidRDefault="004C795C" w:rsidP="00697EFE">
      <w:pPr>
        <w:pStyle w:val="ListParagraph"/>
        <w:bidi w:val="0"/>
        <w:spacing w:line="360" w:lineRule="auto"/>
        <w:ind w:left="0"/>
        <w:jc w:val="lowKashida"/>
        <w:rPr>
          <w:rFonts w:asciiTheme="majorBidi" w:hAnsiTheme="majorBidi" w:cstheme="majorBidi"/>
          <w:b/>
          <w:bCs/>
          <w:sz w:val="28"/>
          <w:szCs w:val="28"/>
          <w:lang w:bidi="ar-EG"/>
        </w:rPr>
      </w:pPr>
    </w:p>
    <w:p w:rsidR="00A11147" w:rsidRPr="00754096" w:rsidRDefault="00E02F23" w:rsidP="004C795C">
      <w:pPr>
        <w:pStyle w:val="ListParagraph"/>
        <w:bidi w:val="0"/>
        <w:spacing w:line="360" w:lineRule="auto"/>
        <w:ind w:left="0"/>
        <w:jc w:val="lowKashida"/>
        <w:rPr>
          <w:rFonts w:asciiTheme="majorBidi" w:hAnsiTheme="majorBidi" w:cstheme="majorBidi"/>
          <w:b/>
          <w:bCs/>
          <w:i/>
          <w:iCs/>
          <w:sz w:val="28"/>
          <w:szCs w:val="28"/>
        </w:rPr>
      </w:pPr>
      <w:r>
        <w:rPr>
          <w:rFonts w:asciiTheme="majorBidi" w:hAnsiTheme="majorBidi" w:cstheme="majorBidi"/>
          <w:b/>
          <w:bCs/>
          <w:sz w:val="28"/>
          <w:szCs w:val="28"/>
          <w:lang w:bidi="ar-EG"/>
        </w:rPr>
        <w:lastRenderedPageBreak/>
        <w:t xml:space="preserve">Table </w:t>
      </w:r>
      <w:proofErr w:type="gramStart"/>
      <w:r>
        <w:rPr>
          <w:rFonts w:asciiTheme="majorBidi" w:hAnsiTheme="majorBidi" w:cstheme="majorBidi"/>
          <w:b/>
          <w:bCs/>
          <w:sz w:val="28"/>
          <w:szCs w:val="28"/>
          <w:lang w:bidi="ar-EG"/>
        </w:rPr>
        <w:t xml:space="preserve">( </w:t>
      </w:r>
      <w:r w:rsidR="000D0485">
        <w:rPr>
          <w:rFonts w:asciiTheme="majorBidi" w:hAnsiTheme="majorBidi" w:cstheme="majorBidi"/>
          <w:b/>
          <w:bCs/>
          <w:sz w:val="28"/>
          <w:szCs w:val="28"/>
          <w:lang w:bidi="ar-EG"/>
        </w:rPr>
        <w:t>4</w:t>
      </w:r>
      <w:proofErr w:type="gramEnd"/>
      <w:r>
        <w:rPr>
          <w:rFonts w:asciiTheme="majorBidi" w:hAnsiTheme="majorBidi" w:cstheme="majorBidi"/>
          <w:b/>
          <w:bCs/>
          <w:sz w:val="28"/>
          <w:szCs w:val="28"/>
          <w:lang w:bidi="ar-EG"/>
        </w:rPr>
        <w:t xml:space="preserve">  ):</w:t>
      </w:r>
      <w:r w:rsidR="00A11147">
        <w:rPr>
          <w:rFonts w:asciiTheme="majorBidi" w:hAnsiTheme="majorBidi" w:cstheme="majorBidi"/>
          <w:b/>
          <w:bCs/>
          <w:sz w:val="28"/>
          <w:szCs w:val="28"/>
          <w:lang w:bidi="ar-EG"/>
        </w:rPr>
        <w:t xml:space="preserve"> mechanism of action of </w:t>
      </w:r>
      <w:proofErr w:type="spellStart"/>
      <w:r w:rsidR="00F0645E">
        <w:rPr>
          <w:rFonts w:asciiTheme="majorBidi" w:hAnsiTheme="majorBidi" w:cstheme="majorBidi"/>
          <w:b/>
          <w:bCs/>
          <w:sz w:val="28"/>
          <w:szCs w:val="28"/>
          <w:lang w:bidi="ar-EG"/>
        </w:rPr>
        <w:t>anti leukemic</w:t>
      </w:r>
      <w:proofErr w:type="spellEnd"/>
      <w:r w:rsidR="00A11147">
        <w:rPr>
          <w:rFonts w:asciiTheme="majorBidi" w:hAnsiTheme="majorBidi" w:cstheme="majorBidi"/>
          <w:b/>
          <w:bCs/>
          <w:sz w:val="28"/>
          <w:szCs w:val="28"/>
          <w:lang w:bidi="ar-EG"/>
        </w:rPr>
        <w:t xml:space="preserve"> agents</w:t>
      </w:r>
      <w:r w:rsidR="00F0645E">
        <w:rPr>
          <w:rFonts w:asciiTheme="majorBidi" w:hAnsiTheme="majorBidi" w:cstheme="majorBidi"/>
          <w:b/>
          <w:bCs/>
          <w:sz w:val="28"/>
          <w:szCs w:val="28"/>
          <w:lang w:bidi="ar-EG"/>
        </w:rPr>
        <w:t xml:space="preserve"> </w:t>
      </w:r>
      <w:r w:rsidR="00F0645E" w:rsidRPr="00F0645E">
        <w:rPr>
          <w:rFonts w:asciiTheme="majorBidi" w:hAnsiTheme="majorBidi" w:cstheme="majorBidi"/>
          <w:b/>
          <w:bCs/>
          <w:i/>
          <w:iCs/>
          <w:sz w:val="28"/>
          <w:szCs w:val="28"/>
          <w:lang w:bidi="ar-EG"/>
        </w:rPr>
        <w:t>(</w:t>
      </w:r>
      <w:r w:rsidR="00F0645E" w:rsidRPr="00F0645E">
        <w:rPr>
          <w:rFonts w:asciiTheme="majorBidi" w:hAnsiTheme="majorBidi" w:cstheme="majorBidi"/>
          <w:b/>
          <w:bCs/>
          <w:i/>
          <w:iCs/>
          <w:sz w:val="28"/>
          <w:szCs w:val="28"/>
        </w:rPr>
        <w:t>Sharma, 2009)</w:t>
      </w:r>
      <w:r w:rsidR="00A11147">
        <w:rPr>
          <w:rFonts w:asciiTheme="majorBidi" w:hAnsiTheme="majorBidi" w:cstheme="majorBidi"/>
          <w:b/>
          <w:bCs/>
          <w:sz w:val="28"/>
          <w:szCs w:val="28"/>
          <w:lang w:bidi="ar-EG"/>
        </w:rPr>
        <w:t>:</w:t>
      </w:r>
    </w:p>
    <w:tbl>
      <w:tblPr>
        <w:tblStyle w:val="TableGrid"/>
        <w:tblW w:w="9356" w:type="dxa"/>
        <w:tblInd w:w="-459" w:type="dxa"/>
        <w:tblLook w:val="04A0" w:firstRow="1" w:lastRow="0" w:firstColumn="1" w:lastColumn="0" w:noHBand="0" w:noVBand="1"/>
      </w:tblPr>
      <w:tblGrid>
        <w:gridCol w:w="2378"/>
        <w:gridCol w:w="6978"/>
      </w:tblGrid>
      <w:tr w:rsidR="005F1974" w:rsidTr="005F1974">
        <w:tc>
          <w:tcPr>
            <w:tcW w:w="2378" w:type="dxa"/>
          </w:tcPr>
          <w:p w:rsidR="005F1974" w:rsidRDefault="005F1974" w:rsidP="00E02F23">
            <w:pPr>
              <w:pStyle w:val="ListParagraph"/>
              <w:bidi w:val="0"/>
              <w:spacing w:line="360" w:lineRule="auto"/>
              <w:ind w:left="0"/>
              <w:jc w:val="lowKashida"/>
              <w:rPr>
                <w:rFonts w:asciiTheme="majorBidi" w:hAnsiTheme="majorBidi" w:cstheme="majorBidi"/>
                <w:b/>
                <w:bCs/>
                <w:i/>
                <w:iCs/>
                <w:sz w:val="28"/>
                <w:szCs w:val="28"/>
              </w:rPr>
            </w:pPr>
            <w:r>
              <w:rPr>
                <w:rFonts w:asciiTheme="majorBidi" w:hAnsiTheme="majorBidi" w:cstheme="majorBidi"/>
                <w:b/>
                <w:bCs/>
                <w:i/>
                <w:iCs/>
                <w:sz w:val="28"/>
                <w:szCs w:val="28"/>
              </w:rPr>
              <w:t>Generic name</w:t>
            </w:r>
          </w:p>
        </w:tc>
        <w:tc>
          <w:tcPr>
            <w:tcW w:w="6978" w:type="dxa"/>
          </w:tcPr>
          <w:p w:rsidR="005F1974" w:rsidRDefault="005F1974" w:rsidP="00E02F23">
            <w:pPr>
              <w:pStyle w:val="ListParagraph"/>
              <w:bidi w:val="0"/>
              <w:spacing w:line="360" w:lineRule="auto"/>
              <w:ind w:left="0"/>
              <w:jc w:val="lowKashida"/>
              <w:rPr>
                <w:rFonts w:asciiTheme="majorBidi" w:hAnsiTheme="majorBidi" w:cstheme="majorBidi"/>
                <w:b/>
                <w:bCs/>
                <w:i/>
                <w:iCs/>
                <w:sz w:val="28"/>
                <w:szCs w:val="28"/>
              </w:rPr>
            </w:pPr>
            <w:r>
              <w:rPr>
                <w:rFonts w:asciiTheme="majorBidi" w:hAnsiTheme="majorBidi" w:cstheme="majorBidi"/>
                <w:b/>
                <w:bCs/>
                <w:i/>
                <w:iCs/>
                <w:sz w:val="28"/>
                <w:szCs w:val="28"/>
              </w:rPr>
              <w:t>Mechanism of action</w:t>
            </w:r>
          </w:p>
        </w:tc>
      </w:tr>
      <w:tr w:rsidR="005F1974" w:rsidTr="005F1974">
        <w:tc>
          <w:tcPr>
            <w:tcW w:w="2378" w:type="dxa"/>
          </w:tcPr>
          <w:p w:rsidR="005F1974" w:rsidRPr="00A11147" w:rsidRDefault="005F1974" w:rsidP="00E02F23">
            <w:pPr>
              <w:pStyle w:val="ListParagraph"/>
              <w:bidi w:val="0"/>
              <w:spacing w:line="360" w:lineRule="auto"/>
              <w:ind w:left="0"/>
              <w:jc w:val="lowKashida"/>
              <w:rPr>
                <w:rFonts w:asciiTheme="majorBidi" w:hAnsiTheme="majorBidi" w:cstheme="majorBidi"/>
                <w:sz w:val="28"/>
                <w:szCs w:val="28"/>
              </w:rPr>
            </w:pPr>
            <w:r w:rsidRPr="00A11147">
              <w:rPr>
                <w:rFonts w:asciiTheme="majorBidi" w:hAnsiTheme="majorBidi" w:cstheme="majorBidi"/>
                <w:sz w:val="28"/>
                <w:szCs w:val="28"/>
              </w:rPr>
              <w:t>Corticosteroids</w:t>
            </w:r>
          </w:p>
          <w:p w:rsidR="005F1974" w:rsidRDefault="005F1974" w:rsidP="00A11147">
            <w:pPr>
              <w:pStyle w:val="ListParagraph"/>
              <w:bidi w:val="0"/>
              <w:spacing w:line="360" w:lineRule="auto"/>
              <w:ind w:left="0"/>
              <w:jc w:val="lowKashida"/>
              <w:rPr>
                <w:rFonts w:asciiTheme="majorBidi" w:hAnsiTheme="majorBidi" w:cstheme="majorBidi"/>
                <w:b/>
                <w:bCs/>
                <w:i/>
                <w:iCs/>
                <w:sz w:val="28"/>
                <w:szCs w:val="28"/>
              </w:rPr>
            </w:pPr>
            <w:r w:rsidRPr="00A11147">
              <w:rPr>
                <w:rFonts w:asciiTheme="majorBidi" w:hAnsiTheme="majorBidi" w:cstheme="majorBidi"/>
                <w:sz w:val="28"/>
                <w:szCs w:val="28"/>
              </w:rPr>
              <w:t>(prednisone,</w:t>
            </w:r>
            <w:r>
              <w:rPr>
                <w:rFonts w:asciiTheme="majorBidi" w:hAnsiTheme="majorBidi" w:cstheme="majorBidi"/>
                <w:sz w:val="28"/>
                <w:szCs w:val="28"/>
              </w:rPr>
              <w:t xml:space="preserve"> dex</w:t>
            </w:r>
            <w:r w:rsidRPr="00A11147">
              <w:rPr>
                <w:rFonts w:asciiTheme="majorBidi" w:hAnsiTheme="majorBidi" w:cstheme="majorBidi"/>
                <w:sz w:val="28"/>
                <w:szCs w:val="28"/>
              </w:rPr>
              <w:t>amethasone)</w:t>
            </w:r>
            <w:r>
              <w:rPr>
                <w:rFonts w:asciiTheme="majorBidi" w:hAnsiTheme="majorBidi" w:cstheme="majorBidi"/>
                <w:b/>
                <w:bCs/>
                <w:i/>
                <w:iCs/>
                <w:sz w:val="28"/>
                <w:szCs w:val="28"/>
              </w:rPr>
              <w:t xml:space="preserve"> </w:t>
            </w:r>
          </w:p>
        </w:tc>
        <w:tc>
          <w:tcPr>
            <w:tcW w:w="6978" w:type="dxa"/>
          </w:tcPr>
          <w:p w:rsidR="005F1974" w:rsidRPr="00A11147"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A11147">
              <w:rPr>
                <w:rFonts w:asciiTheme="majorBidi" w:hAnsiTheme="majorBidi" w:cstheme="majorBidi"/>
                <w:sz w:val="28"/>
                <w:szCs w:val="28"/>
              </w:rPr>
              <w:t>Induction of apoptosis and/or cell cycle arrest</w:t>
            </w:r>
            <w:r>
              <w:rPr>
                <w:rFonts w:asciiTheme="majorBidi" w:hAnsiTheme="majorBidi" w:cstheme="majorBidi"/>
                <w:b/>
                <w:bCs/>
                <w:i/>
                <w:iCs/>
                <w:sz w:val="28"/>
                <w:szCs w:val="28"/>
              </w:rPr>
              <w:t xml:space="preserve"> </w:t>
            </w:r>
            <w:r w:rsidRPr="00F44D92">
              <w:rPr>
                <w:rFonts w:asciiTheme="majorBidi" w:hAnsiTheme="majorBidi" w:cstheme="majorBidi"/>
                <w:b/>
                <w:bCs/>
                <w:i/>
                <w:iCs/>
                <w:sz w:val="28"/>
                <w:szCs w:val="28"/>
              </w:rPr>
              <w:t>(</w:t>
            </w:r>
            <w:proofErr w:type="spellStart"/>
            <w:r w:rsidRPr="00F44D92">
              <w:rPr>
                <w:rFonts w:asciiTheme="majorBidi" w:hAnsiTheme="majorBidi" w:cstheme="majorBidi"/>
                <w:b/>
                <w:bCs/>
                <w:i/>
                <w:iCs/>
                <w:sz w:val="28"/>
                <w:szCs w:val="28"/>
              </w:rPr>
              <w:t>Kofler</w:t>
            </w:r>
            <w:proofErr w:type="spellEnd"/>
            <w:r w:rsidRPr="00F44D92">
              <w:rPr>
                <w:rFonts w:asciiTheme="majorBidi" w:hAnsiTheme="majorBidi" w:cstheme="majorBidi"/>
                <w:b/>
                <w:bCs/>
                <w:i/>
                <w:iCs/>
                <w:sz w:val="28"/>
                <w:szCs w:val="28"/>
              </w:rPr>
              <w:t xml:space="preserve"> et al.</w:t>
            </w:r>
            <w:proofErr w:type="gramStart"/>
            <w:r w:rsidRPr="00F44D92">
              <w:rPr>
                <w:rFonts w:asciiTheme="majorBidi" w:hAnsiTheme="majorBidi" w:cstheme="majorBidi"/>
                <w:b/>
                <w:bCs/>
                <w:i/>
                <w:iCs/>
                <w:sz w:val="28"/>
                <w:szCs w:val="28"/>
              </w:rPr>
              <w:t>,2003</w:t>
            </w:r>
            <w:proofErr w:type="gramEnd"/>
            <w:r w:rsidRPr="00F44D92">
              <w:rPr>
                <w:rFonts w:asciiTheme="majorBidi" w:hAnsiTheme="majorBidi" w:cstheme="majorBidi"/>
                <w:b/>
                <w:bCs/>
                <w:i/>
                <w:iCs/>
                <w:sz w:val="28"/>
                <w:szCs w:val="28"/>
              </w:rPr>
              <w:t>).</w:t>
            </w:r>
          </w:p>
        </w:tc>
      </w:tr>
      <w:tr w:rsidR="005F1974" w:rsidTr="005F1974">
        <w:tc>
          <w:tcPr>
            <w:tcW w:w="23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Doxorubicin</w:t>
            </w:r>
          </w:p>
        </w:tc>
        <w:tc>
          <w:tcPr>
            <w:tcW w:w="69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Drugs bind to DNA through intercalation between specific base pair thus block the DNA synthesis.</w:t>
            </w:r>
          </w:p>
        </w:tc>
      </w:tr>
      <w:tr w:rsidR="005F1974" w:rsidTr="005F1974">
        <w:tc>
          <w:tcPr>
            <w:tcW w:w="23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Vincristine</w:t>
            </w:r>
          </w:p>
        </w:tc>
        <w:tc>
          <w:tcPr>
            <w:tcW w:w="69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Arrest the cell division in metaphase by binding to tubulin</w:t>
            </w:r>
            <w:r>
              <w:rPr>
                <w:rFonts w:asciiTheme="majorBidi" w:hAnsiTheme="majorBidi" w:cstheme="majorBidi"/>
                <w:sz w:val="28"/>
                <w:szCs w:val="28"/>
              </w:rPr>
              <w:t>.</w:t>
            </w:r>
          </w:p>
        </w:tc>
      </w:tr>
      <w:tr w:rsidR="005F1974" w:rsidTr="005F1974">
        <w:tc>
          <w:tcPr>
            <w:tcW w:w="2378" w:type="dxa"/>
          </w:tcPr>
          <w:p w:rsidR="005F1974" w:rsidRPr="0042614E" w:rsidRDefault="005F1974" w:rsidP="00CE5139">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Cyclophosphamide</w:t>
            </w:r>
          </w:p>
        </w:tc>
        <w:tc>
          <w:tcPr>
            <w:tcW w:w="69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Introduce alkyl groups into DNA and create cross linking between two DNA strands and inhibit protein synthesis</w:t>
            </w:r>
          </w:p>
        </w:tc>
      </w:tr>
      <w:tr w:rsidR="005F1974" w:rsidTr="005F1974">
        <w:tc>
          <w:tcPr>
            <w:tcW w:w="23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Etoposide</w:t>
            </w:r>
          </w:p>
        </w:tc>
        <w:tc>
          <w:tcPr>
            <w:tcW w:w="69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42614E">
              <w:rPr>
                <w:rFonts w:asciiTheme="majorBidi" w:hAnsiTheme="majorBidi" w:cstheme="majorBidi"/>
                <w:sz w:val="28"/>
                <w:szCs w:val="28"/>
              </w:rPr>
              <w:t>Inhibits topoisomerase II thus prevent resealing of DNA which leads to cell death.</w:t>
            </w:r>
          </w:p>
        </w:tc>
      </w:tr>
      <w:tr w:rsidR="005F1974" w:rsidTr="005F1974">
        <w:tc>
          <w:tcPr>
            <w:tcW w:w="2378" w:type="dxa"/>
          </w:tcPr>
          <w:p w:rsidR="005F1974" w:rsidRPr="0042614E" w:rsidRDefault="005F1974" w:rsidP="00E02F23">
            <w:pPr>
              <w:pStyle w:val="ListParagraph"/>
              <w:bidi w:val="0"/>
              <w:spacing w:line="360" w:lineRule="auto"/>
              <w:ind w:left="0"/>
              <w:jc w:val="lowKashida"/>
              <w:rPr>
                <w:rFonts w:asciiTheme="majorBidi" w:hAnsiTheme="majorBidi" w:cstheme="majorBidi"/>
                <w:b/>
                <w:bCs/>
                <w:i/>
                <w:iCs/>
                <w:sz w:val="28"/>
                <w:szCs w:val="28"/>
              </w:rPr>
            </w:pPr>
            <w:proofErr w:type="spellStart"/>
            <w:r w:rsidRPr="0042614E">
              <w:rPr>
                <w:rFonts w:asciiTheme="majorBidi" w:hAnsiTheme="majorBidi" w:cstheme="majorBidi"/>
                <w:sz w:val="28"/>
                <w:szCs w:val="28"/>
              </w:rPr>
              <w:t>Cytarabine</w:t>
            </w:r>
            <w:proofErr w:type="spellEnd"/>
          </w:p>
        </w:tc>
        <w:tc>
          <w:tcPr>
            <w:tcW w:w="6978" w:type="dxa"/>
          </w:tcPr>
          <w:p w:rsidR="005F1974" w:rsidRPr="002D0123" w:rsidRDefault="005F1974" w:rsidP="002D0123">
            <w:pPr>
              <w:pStyle w:val="ListParagraph"/>
              <w:bidi w:val="0"/>
              <w:spacing w:line="360" w:lineRule="auto"/>
              <w:ind w:left="0"/>
              <w:jc w:val="lowKashida"/>
              <w:rPr>
                <w:rFonts w:asciiTheme="majorBidi" w:hAnsiTheme="majorBidi" w:cstheme="majorBidi"/>
                <w:sz w:val="28"/>
                <w:szCs w:val="28"/>
              </w:rPr>
            </w:pPr>
            <w:r w:rsidRPr="0042614E">
              <w:rPr>
                <w:rFonts w:asciiTheme="majorBidi" w:hAnsiTheme="majorBidi" w:cstheme="majorBidi"/>
                <w:sz w:val="28"/>
                <w:szCs w:val="28"/>
              </w:rPr>
              <w:t>Block pyrimidine nucleotide formation by incorporation into newly synthesized DNA.</w:t>
            </w:r>
          </w:p>
        </w:tc>
      </w:tr>
      <w:tr w:rsidR="005F1974" w:rsidTr="005F1974">
        <w:tc>
          <w:tcPr>
            <w:tcW w:w="2378" w:type="dxa"/>
          </w:tcPr>
          <w:p w:rsidR="005F1974" w:rsidRDefault="005F1974" w:rsidP="00F0645E">
            <w:pPr>
              <w:pStyle w:val="ListParagraph"/>
              <w:bidi w:val="0"/>
              <w:spacing w:line="360" w:lineRule="auto"/>
              <w:ind w:left="0"/>
              <w:jc w:val="lowKashida"/>
              <w:rPr>
                <w:rFonts w:asciiTheme="majorBidi" w:hAnsiTheme="majorBidi" w:cstheme="majorBidi"/>
                <w:sz w:val="28"/>
                <w:szCs w:val="28"/>
              </w:rPr>
            </w:pPr>
          </w:p>
          <w:p w:rsidR="005F1974" w:rsidRDefault="005F1974" w:rsidP="002D0123">
            <w:pPr>
              <w:pStyle w:val="ListParagraph"/>
              <w:bidi w:val="0"/>
              <w:spacing w:line="360" w:lineRule="auto"/>
              <w:ind w:left="0"/>
              <w:jc w:val="lowKashida"/>
              <w:rPr>
                <w:rFonts w:asciiTheme="majorBidi" w:hAnsiTheme="majorBidi" w:cstheme="majorBidi"/>
                <w:sz w:val="28"/>
                <w:szCs w:val="28"/>
              </w:rPr>
            </w:pPr>
          </w:p>
          <w:p w:rsidR="005F1974" w:rsidRPr="00F0645E" w:rsidRDefault="005F1974" w:rsidP="002D0123">
            <w:pPr>
              <w:pStyle w:val="ListParagraph"/>
              <w:bidi w:val="0"/>
              <w:spacing w:line="360" w:lineRule="auto"/>
              <w:ind w:left="0"/>
              <w:jc w:val="lowKashida"/>
              <w:rPr>
                <w:rFonts w:asciiTheme="majorBidi" w:hAnsiTheme="majorBidi" w:cstheme="majorBidi"/>
                <w:b/>
                <w:bCs/>
                <w:i/>
                <w:iCs/>
                <w:sz w:val="28"/>
                <w:szCs w:val="28"/>
              </w:rPr>
            </w:pPr>
            <w:r w:rsidRPr="00F0645E">
              <w:rPr>
                <w:rFonts w:asciiTheme="majorBidi" w:hAnsiTheme="majorBidi" w:cstheme="majorBidi"/>
                <w:sz w:val="28"/>
                <w:szCs w:val="28"/>
              </w:rPr>
              <w:t xml:space="preserve">6-Mercaptopurine &amp; </w:t>
            </w:r>
            <w:proofErr w:type="spellStart"/>
            <w:r w:rsidRPr="00F0645E">
              <w:rPr>
                <w:rFonts w:asciiTheme="majorBidi" w:hAnsiTheme="majorBidi" w:cstheme="majorBidi"/>
                <w:sz w:val="28"/>
                <w:szCs w:val="28"/>
              </w:rPr>
              <w:t>Thioguanine</w:t>
            </w:r>
            <w:proofErr w:type="spellEnd"/>
          </w:p>
        </w:tc>
        <w:tc>
          <w:tcPr>
            <w:tcW w:w="6978" w:type="dxa"/>
          </w:tcPr>
          <w:p w:rsidR="005F1974" w:rsidRDefault="005F1974" w:rsidP="00E02F23">
            <w:pPr>
              <w:pStyle w:val="ListParagraph"/>
              <w:bidi w:val="0"/>
              <w:spacing w:line="360" w:lineRule="auto"/>
              <w:ind w:left="0"/>
              <w:jc w:val="lowKashida"/>
              <w:rPr>
                <w:rFonts w:asciiTheme="majorBidi" w:hAnsiTheme="majorBidi" w:cstheme="majorBidi"/>
                <w:sz w:val="28"/>
                <w:szCs w:val="28"/>
              </w:rPr>
            </w:pPr>
          </w:p>
          <w:p w:rsidR="005F1974" w:rsidRDefault="005F1974" w:rsidP="002D0123">
            <w:pPr>
              <w:pStyle w:val="ListParagraph"/>
              <w:bidi w:val="0"/>
              <w:spacing w:line="360" w:lineRule="auto"/>
              <w:ind w:left="0"/>
              <w:jc w:val="lowKashida"/>
              <w:rPr>
                <w:rFonts w:asciiTheme="majorBidi" w:hAnsiTheme="majorBidi" w:cstheme="majorBidi"/>
                <w:sz w:val="28"/>
                <w:szCs w:val="28"/>
              </w:rPr>
            </w:pPr>
          </w:p>
          <w:p w:rsidR="005F1974" w:rsidRPr="00F0645E" w:rsidRDefault="005F1974" w:rsidP="002D0123">
            <w:pPr>
              <w:pStyle w:val="ListParagraph"/>
              <w:bidi w:val="0"/>
              <w:spacing w:line="360" w:lineRule="auto"/>
              <w:ind w:left="0"/>
              <w:jc w:val="lowKashida"/>
              <w:rPr>
                <w:rFonts w:asciiTheme="majorBidi" w:hAnsiTheme="majorBidi" w:cstheme="majorBidi"/>
                <w:b/>
                <w:bCs/>
                <w:i/>
                <w:iCs/>
                <w:sz w:val="28"/>
                <w:szCs w:val="28"/>
              </w:rPr>
            </w:pPr>
            <w:r w:rsidRPr="00F0645E">
              <w:rPr>
                <w:rFonts w:asciiTheme="majorBidi" w:hAnsiTheme="majorBidi" w:cstheme="majorBidi"/>
                <w:sz w:val="28"/>
                <w:szCs w:val="28"/>
              </w:rPr>
              <w:t>Act as fraud substrate for biochemical reactions and inhibit the synthetic steps during S-phase of replication.</w:t>
            </w:r>
          </w:p>
        </w:tc>
      </w:tr>
      <w:tr w:rsidR="005F1974" w:rsidTr="005F1974">
        <w:tc>
          <w:tcPr>
            <w:tcW w:w="2378" w:type="dxa"/>
          </w:tcPr>
          <w:p w:rsidR="005F1974" w:rsidRPr="00A75A19" w:rsidRDefault="005F1974" w:rsidP="00E02F23">
            <w:pPr>
              <w:pStyle w:val="ListParagraph"/>
              <w:bidi w:val="0"/>
              <w:spacing w:line="360" w:lineRule="auto"/>
              <w:ind w:left="0"/>
              <w:jc w:val="lowKashida"/>
              <w:rPr>
                <w:rFonts w:asciiTheme="majorBidi" w:hAnsiTheme="majorBidi" w:cstheme="majorBidi"/>
                <w:b/>
                <w:bCs/>
                <w:i/>
                <w:iCs/>
                <w:sz w:val="28"/>
                <w:szCs w:val="28"/>
              </w:rPr>
            </w:pPr>
            <w:r w:rsidRPr="00A75A19">
              <w:rPr>
                <w:rFonts w:asciiTheme="majorBidi" w:hAnsiTheme="majorBidi" w:cstheme="majorBidi"/>
                <w:sz w:val="28"/>
                <w:szCs w:val="28"/>
              </w:rPr>
              <w:t>L-</w:t>
            </w:r>
            <w:proofErr w:type="spellStart"/>
            <w:r w:rsidRPr="00A75A19">
              <w:rPr>
                <w:rFonts w:asciiTheme="majorBidi" w:hAnsiTheme="majorBidi" w:cstheme="majorBidi"/>
                <w:sz w:val="28"/>
                <w:szCs w:val="28"/>
              </w:rPr>
              <w:t>Asparaginase</w:t>
            </w:r>
            <w:proofErr w:type="spellEnd"/>
          </w:p>
        </w:tc>
        <w:tc>
          <w:tcPr>
            <w:tcW w:w="6978" w:type="dxa"/>
          </w:tcPr>
          <w:p w:rsidR="005F1974" w:rsidRPr="00A75A19" w:rsidRDefault="005F1974" w:rsidP="00A75A19">
            <w:pPr>
              <w:pStyle w:val="ListParagraph"/>
              <w:bidi w:val="0"/>
              <w:spacing w:line="360" w:lineRule="auto"/>
              <w:ind w:left="0"/>
              <w:jc w:val="lowKashida"/>
              <w:rPr>
                <w:rFonts w:asciiTheme="majorBidi" w:hAnsiTheme="majorBidi" w:cstheme="majorBidi"/>
                <w:b/>
                <w:bCs/>
                <w:i/>
                <w:iCs/>
                <w:sz w:val="28"/>
                <w:szCs w:val="28"/>
              </w:rPr>
            </w:pPr>
            <w:r w:rsidRPr="00A75A19">
              <w:rPr>
                <w:rFonts w:asciiTheme="majorBidi" w:hAnsiTheme="majorBidi" w:cstheme="majorBidi"/>
                <w:sz w:val="28"/>
                <w:szCs w:val="28"/>
              </w:rPr>
              <w:t xml:space="preserve">Asparagine </w:t>
            </w:r>
            <w:proofErr w:type="gramStart"/>
            <w:r w:rsidRPr="00A75A19">
              <w:rPr>
                <w:rFonts w:asciiTheme="majorBidi" w:hAnsiTheme="majorBidi" w:cstheme="majorBidi"/>
                <w:sz w:val="28"/>
                <w:szCs w:val="28"/>
              </w:rPr>
              <w:t>depletion ,</w:t>
            </w:r>
            <w:proofErr w:type="gramEnd"/>
            <w:r w:rsidRPr="00A75A19">
              <w:rPr>
                <w:rFonts w:asciiTheme="majorBidi" w:hAnsiTheme="majorBidi" w:cstheme="majorBidi"/>
                <w:sz w:val="28"/>
                <w:szCs w:val="28"/>
              </w:rPr>
              <w:t xml:space="preserve"> inhibition of protein and RNA synthesis, induction of cell cycle arrest and apoptosis in murine leukemia cell lines</w:t>
            </w:r>
            <w:r>
              <w:rPr>
                <w:rFonts w:asciiTheme="majorBidi" w:hAnsiTheme="majorBidi" w:cstheme="majorBidi"/>
                <w:sz w:val="28"/>
                <w:szCs w:val="28"/>
              </w:rPr>
              <w:t xml:space="preserve"> </w:t>
            </w:r>
            <w:r w:rsidRPr="002D0123">
              <w:rPr>
                <w:rFonts w:asciiTheme="majorBidi" w:hAnsiTheme="majorBidi" w:cstheme="majorBidi"/>
                <w:b/>
                <w:bCs/>
                <w:i/>
                <w:iCs/>
                <w:sz w:val="28"/>
                <w:szCs w:val="28"/>
              </w:rPr>
              <w:t>(Appel,2008).</w:t>
            </w:r>
          </w:p>
        </w:tc>
      </w:tr>
    </w:tbl>
    <w:p w:rsidR="005736AE" w:rsidRDefault="00933C01" w:rsidP="005736AE">
      <w:pPr>
        <w:pStyle w:val="ListParagraph"/>
        <w:bidi w:val="0"/>
        <w:spacing w:line="360" w:lineRule="auto"/>
        <w:ind w:left="0"/>
        <w:jc w:val="lowKashida"/>
        <w:rPr>
          <w:rFonts w:asciiTheme="majorBidi" w:hAnsiTheme="majorBidi" w:cstheme="majorBidi"/>
          <w:sz w:val="28"/>
          <w:szCs w:val="28"/>
        </w:rPr>
      </w:pPr>
      <w:r w:rsidRPr="005736AE">
        <w:rPr>
          <w:rFonts w:asciiTheme="majorBidi" w:hAnsiTheme="majorBidi" w:cstheme="majorBidi"/>
          <w:b/>
          <w:bCs/>
          <w:i/>
          <w:iCs/>
          <w:sz w:val="28"/>
          <w:szCs w:val="28"/>
        </w:rPr>
        <w:t xml:space="preserve"> </w:t>
      </w:r>
    </w:p>
    <w:p w:rsidR="00A106D8" w:rsidRDefault="00A106D8" w:rsidP="005736AE">
      <w:pPr>
        <w:pStyle w:val="ListParagraph"/>
        <w:bidi w:val="0"/>
        <w:spacing w:line="360" w:lineRule="auto"/>
        <w:ind w:left="0"/>
        <w:jc w:val="lowKashida"/>
        <w:rPr>
          <w:rFonts w:asciiTheme="majorBidi" w:hAnsiTheme="majorBidi" w:cstheme="majorBidi"/>
          <w:sz w:val="28"/>
          <w:szCs w:val="28"/>
        </w:rPr>
      </w:pPr>
    </w:p>
    <w:p w:rsidR="005F1974" w:rsidRDefault="005F1974" w:rsidP="000270F4">
      <w:pPr>
        <w:pStyle w:val="ListParagraph"/>
        <w:bidi w:val="0"/>
        <w:spacing w:line="360" w:lineRule="auto"/>
        <w:ind w:left="0"/>
        <w:jc w:val="lowKashida"/>
        <w:rPr>
          <w:rFonts w:asciiTheme="majorBidi" w:hAnsiTheme="majorBidi" w:cstheme="majorBidi"/>
          <w:b/>
          <w:bCs/>
          <w:sz w:val="28"/>
          <w:szCs w:val="28"/>
        </w:rPr>
      </w:pPr>
    </w:p>
    <w:p w:rsidR="005F1974" w:rsidRDefault="005F1974" w:rsidP="005F1974">
      <w:pPr>
        <w:pStyle w:val="ListParagraph"/>
        <w:bidi w:val="0"/>
        <w:spacing w:line="360" w:lineRule="auto"/>
        <w:ind w:left="0"/>
        <w:jc w:val="lowKashida"/>
        <w:rPr>
          <w:rFonts w:asciiTheme="majorBidi" w:hAnsiTheme="majorBidi" w:cstheme="majorBidi"/>
          <w:b/>
          <w:bCs/>
          <w:sz w:val="28"/>
          <w:szCs w:val="28"/>
        </w:rPr>
      </w:pPr>
    </w:p>
    <w:p w:rsidR="005F1974" w:rsidRDefault="005F1974" w:rsidP="005F1974">
      <w:pPr>
        <w:pStyle w:val="ListParagraph"/>
        <w:bidi w:val="0"/>
        <w:spacing w:line="360" w:lineRule="auto"/>
        <w:ind w:left="0"/>
        <w:jc w:val="lowKashida"/>
        <w:rPr>
          <w:rFonts w:asciiTheme="majorBidi" w:hAnsiTheme="majorBidi" w:cstheme="majorBidi"/>
          <w:b/>
          <w:bCs/>
          <w:sz w:val="28"/>
          <w:szCs w:val="28"/>
        </w:rPr>
      </w:pPr>
    </w:p>
    <w:p w:rsidR="005F1974" w:rsidRDefault="005F1974" w:rsidP="005F1974">
      <w:pPr>
        <w:pStyle w:val="ListParagraph"/>
        <w:bidi w:val="0"/>
        <w:spacing w:line="360" w:lineRule="auto"/>
        <w:ind w:left="0"/>
        <w:jc w:val="lowKashida"/>
        <w:rPr>
          <w:rFonts w:asciiTheme="majorBidi" w:hAnsiTheme="majorBidi" w:cstheme="majorBidi"/>
          <w:b/>
          <w:bCs/>
          <w:sz w:val="28"/>
          <w:szCs w:val="28"/>
        </w:rPr>
      </w:pPr>
    </w:p>
    <w:p w:rsidR="00B701F5" w:rsidRPr="000E0C65" w:rsidRDefault="00CE5139" w:rsidP="005F1974">
      <w:pPr>
        <w:pStyle w:val="NormalWeb"/>
        <w:bidi w:val="0"/>
        <w:rPr>
          <w:rFonts w:eastAsia="Times New Roman"/>
          <w:b/>
          <w:bCs/>
          <w:i/>
          <w:iCs/>
          <w:color w:val="000000"/>
        </w:rPr>
      </w:pPr>
      <w:r>
        <w:rPr>
          <w:rFonts w:asciiTheme="majorBidi" w:hAnsiTheme="majorBidi" w:cstheme="majorBidi"/>
          <w:b/>
          <w:bCs/>
          <w:sz w:val="28"/>
          <w:szCs w:val="28"/>
        </w:rPr>
        <w:lastRenderedPageBreak/>
        <w:t xml:space="preserve">Table (5): </w:t>
      </w:r>
      <w:r w:rsidR="00B701F5" w:rsidRPr="00835C50">
        <w:rPr>
          <w:rFonts w:asciiTheme="majorBidi" w:hAnsiTheme="majorBidi" w:cstheme="majorBidi"/>
          <w:b/>
          <w:bCs/>
          <w:sz w:val="28"/>
          <w:szCs w:val="28"/>
        </w:rPr>
        <w:t>Total Therapy Study XV for Newly Diagnosed Patients with Acute Lymphoblastic Leukemia</w:t>
      </w:r>
      <w:r w:rsidR="008B2194">
        <w:rPr>
          <w:rFonts w:asciiTheme="majorBidi" w:hAnsiTheme="majorBidi" w:cstheme="majorBidi"/>
          <w:b/>
          <w:bCs/>
          <w:sz w:val="28"/>
          <w:szCs w:val="28"/>
        </w:rPr>
        <w:t xml:space="preserve"> </w:t>
      </w:r>
      <w:r w:rsidR="008B2194" w:rsidRPr="000E0C65">
        <w:rPr>
          <w:rFonts w:asciiTheme="majorBidi" w:hAnsiTheme="majorBidi" w:cstheme="majorBidi"/>
          <w:b/>
          <w:bCs/>
          <w:i/>
          <w:iCs/>
          <w:sz w:val="28"/>
          <w:szCs w:val="28"/>
        </w:rPr>
        <w:t>(</w:t>
      </w:r>
      <w:proofErr w:type="spellStart"/>
      <w:r w:rsidR="000E0C65" w:rsidRPr="000E0C65">
        <w:rPr>
          <w:rFonts w:asciiTheme="majorBidi" w:hAnsiTheme="majorBidi" w:cstheme="majorBidi"/>
          <w:b/>
          <w:bCs/>
          <w:i/>
          <w:iCs/>
          <w:sz w:val="28"/>
          <w:szCs w:val="28"/>
        </w:rPr>
        <w:t>Pui</w:t>
      </w:r>
      <w:proofErr w:type="spellEnd"/>
      <w:r w:rsidR="000E0C65" w:rsidRPr="000E0C65">
        <w:rPr>
          <w:rFonts w:asciiTheme="majorBidi" w:hAnsiTheme="majorBidi" w:cstheme="majorBidi"/>
          <w:b/>
          <w:bCs/>
          <w:i/>
          <w:iCs/>
          <w:sz w:val="28"/>
          <w:szCs w:val="28"/>
        </w:rPr>
        <w:t xml:space="preserve"> et al., 2004</w:t>
      </w:r>
      <w:r w:rsidR="008B2194" w:rsidRPr="000E0C65">
        <w:rPr>
          <w:rFonts w:asciiTheme="majorBidi" w:hAnsiTheme="majorBidi" w:cstheme="majorBidi"/>
          <w:b/>
          <w:bCs/>
          <w:i/>
          <w:iCs/>
          <w:sz w:val="28"/>
          <w:szCs w:val="28"/>
        </w:rPr>
        <w:t>)</w:t>
      </w:r>
      <w:r w:rsidR="00B701F5" w:rsidRPr="000E0C65">
        <w:rPr>
          <w:rFonts w:asciiTheme="majorBidi" w:hAnsiTheme="majorBidi" w:cstheme="majorBidi"/>
          <w:b/>
          <w:bCs/>
          <w:i/>
          <w:iCs/>
          <w:sz w:val="28"/>
          <w:szCs w:val="28"/>
        </w:rPr>
        <w:t>:</w:t>
      </w:r>
      <w:r w:rsidR="00B701F5" w:rsidRPr="000E0C65">
        <w:rPr>
          <w:rFonts w:eastAsia="Times New Roman"/>
          <w:b/>
          <w:bCs/>
          <w:i/>
          <w:iCs/>
          <w:color w:val="000000"/>
        </w:rPr>
        <w:t xml:space="preserve"> </w:t>
      </w:r>
    </w:p>
    <w:tbl>
      <w:tblPr>
        <w:tblStyle w:val="TableGrid"/>
        <w:tblW w:w="0" w:type="auto"/>
        <w:tblInd w:w="-601" w:type="dxa"/>
        <w:tblLayout w:type="fixed"/>
        <w:tblLook w:val="0480" w:firstRow="0" w:lastRow="0" w:firstColumn="1" w:lastColumn="0" w:noHBand="0" w:noVBand="1"/>
      </w:tblPr>
      <w:tblGrid>
        <w:gridCol w:w="1993"/>
        <w:gridCol w:w="276"/>
        <w:gridCol w:w="6854"/>
      </w:tblGrid>
      <w:tr w:rsidR="00B701F5" w:rsidTr="00071DED">
        <w:tc>
          <w:tcPr>
            <w:tcW w:w="1993" w:type="dxa"/>
          </w:tcPr>
          <w:p w:rsidR="00B701F5" w:rsidRPr="006D579D" w:rsidRDefault="00B701F5" w:rsidP="00CE5139">
            <w:pPr>
              <w:pStyle w:val="NormalWeb"/>
              <w:bidi w:val="0"/>
              <w:rPr>
                <w:rFonts w:eastAsia="Times New Roman"/>
                <w:b/>
                <w:bCs/>
                <w:color w:val="000000"/>
              </w:rPr>
            </w:pPr>
            <w:r w:rsidRPr="006D579D">
              <w:rPr>
                <w:rFonts w:eastAsia="Times New Roman"/>
                <w:b/>
                <w:bCs/>
                <w:color w:val="000000"/>
              </w:rPr>
              <w:t>Phase</w:t>
            </w:r>
          </w:p>
        </w:tc>
        <w:tc>
          <w:tcPr>
            <w:tcW w:w="7130" w:type="dxa"/>
            <w:gridSpan w:val="2"/>
          </w:tcPr>
          <w:p w:rsidR="00B701F5" w:rsidRPr="006D579D" w:rsidRDefault="00B701F5" w:rsidP="00CE5139">
            <w:pPr>
              <w:pStyle w:val="NormalWeb"/>
              <w:bidi w:val="0"/>
              <w:rPr>
                <w:rFonts w:eastAsia="Times New Roman"/>
                <w:b/>
                <w:bCs/>
                <w:color w:val="000000"/>
              </w:rPr>
            </w:pPr>
            <w:proofErr w:type="spellStart"/>
            <w:r w:rsidRPr="006D579D">
              <w:rPr>
                <w:rFonts w:eastAsia="Times New Roman"/>
                <w:b/>
                <w:bCs/>
                <w:color w:val="000000"/>
              </w:rPr>
              <w:t>Regemine</w:t>
            </w:r>
            <w:proofErr w:type="spellEnd"/>
          </w:p>
        </w:tc>
      </w:tr>
      <w:tr w:rsidR="00B701F5" w:rsidTr="00071DED">
        <w:tc>
          <w:tcPr>
            <w:tcW w:w="1993" w:type="dxa"/>
          </w:tcPr>
          <w:p w:rsidR="00B701F5" w:rsidRPr="006D579D" w:rsidRDefault="00B701F5" w:rsidP="00CE5139">
            <w:pPr>
              <w:pStyle w:val="NormalWeb"/>
              <w:bidi w:val="0"/>
              <w:rPr>
                <w:rFonts w:eastAsia="Times New Roman"/>
                <w:color w:val="000000"/>
              </w:rPr>
            </w:pPr>
            <w:r w:rsidRPr="006D579D">
              <w:rPr>
                <w:rFonts w:eastAsia="Times New Roman"/>
                <w:b/>
                <w:bCs/>
                <w:color w:val="000000"/>
              </w:rPr>
              <w:t>Remission Induction</w:t>
            </w:r>
            <w:r w:rsidRPr="006D579D">
              <w:rPr>
                <w:rFonts w:eastAsia="Times New Roman"/>
                <w:color w:val="000000"/>
              </w:rPr>
              <w:t xml:space="preserve"> (6-7 weeks)</w:t>
            </w:r>
          </w:p>
          <w:p w:rsidR="00B701F5" w:rsidRPr="006D579D" w:rsidRDefault="00B701F5" w:rsidP="00CE5139">
            <w:pPr>
              <w:pStyle w:val="NormalWeb"/>
              <w:bidi w:val="0"/>
              <w:rPr>
                <w:rFonts w:eastAsia="Times New Roman"/>
                <w:b/>
                <w:bCs/>
                <w:color w:val="000000"/>
              </w:rPr>
            </w:pPr>
          </w:p>
        </w:tc>
        <w:tc>
          <w:tcPr>
            <w:tcW w:w="7130" w:type="dxa"/>
            <w:gridSpan w:val="2"/>
          </w:tcPr>
          <w:p w:rsidR="00B701F5" w:rsidRPr="006D579D" w:rsidRDefault="00B701F5" w:rsidP="006D579D">
            <w:pPr>
              <w:numPr>
                <w:ilvl w:val="0"/>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proofErr w:type="spellStart"/>
            <w:r w:rsidRPr="006D579D">
              <w:rPr>
                <w:rFonts w:ascii="Times New Roman" w:eastAsia="Times New Roman" w:hAnsi="Times New Roman" w:cs="Times New Roman"/>
                <w:color w:val="000000"/>
                <w:sz w:val="24"/>
                <w:szCs w:val="24"/>
              </w:rPr>
              <w:t>cytarabine</w:t>
            </w:r>
            <w:proofErr w:type="spellEnd"/>
            <w:r w:rsidRPr="006D579D">
              <w:rPr>
                <w:rFonts w:ascii="Times New Roman" w:eastAsia="Times New Roman" w:hAnsi="Times New Roman" w:cs="Times New Roman"/>
                <w:color w:val="000000"/>
                <w:sz w:val="24"/>
                <w:szCs w:val="24"/>
              </w:rPr>
              <w:t xml:space="preserve"> (ARA-C) </w:t>
            </w:r>
            <w:proofErr w:type="spellStart"/>
            <w:r w:rsidRPr="006D579D">
              <w:rPr>
                <w:rFonts w:ascii="Times New Roman" w:eastAsia="Times New Roman" w:hAnsi="Times New Roman" w:cs="Times New Roman"/>
                <w:color w:val="000000"/>
                <w:sz w:val="24"/>
                <w:szCs w:val="24"/>
              </w:rPr>
              <w:t>intrathecally</w:t>
            </w:r>
            <w:proofErr w:type="spellEnd"/>
            <w:r w:rsidRPr="006D579D">
              <w:rPr>
                <w:rFonts w:ascii="Times New Roman" w:eastAsia="Times New Roman" w:hAnsi="Times New Roman" w:cs="Times New Roman"/>
                <w:color w:val="000000"/>
                <w:sz w:val="24"/>
                <w:szCs w:val="24"/>
              </w:rPr>
              <w:t xml:space="preserve"> (IT) on day 1 </w:t>
            </w:r>
          </w:p>
          <w:p w:rsidR="00B701F5" w:rsidRPr="006D579D" w:rsidRDefault="00B701F5" w:rsidP="006D579D">
            <w:pPr>
              <w:numPr>
                <w:ilvl w:val="0"/>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immediately following: high-dose (1g/m2) methotrexate IV randomization (with </w:t>
            </w:r>
            <w:proofErr w:type="spellStart"/>
            <w:r w:rsidRPr="006D579D">
              <w:rPr>
                <w:rFonts w:ascii="Times New Roman" w:eastAsia="Times New Roman" w:hAnsi="Times New Roman" w:cs="Times New Roman"/>
                <w:color w:val="000000"/>
                <w:sz w:val="24"/>
                <w:szCs w:val="24"/>
              </w:rPr>
              <w:t>leucovorin</w:t>
            </w:r>
            <w:proofErr w:type="spellEnd"/>
            <w:r w:rsidRPr="006D579D">
              <w:rPr>
                <w:rFonts w:ascii="Times New Roman" w:eastAsia="Times New Roman" w:hAnsi="Times New Roman" w:cs="Times New Roman"/>
                <w:color w:val="000000"/>
                <w:sz w:val="24"/>
                <w:szCs w:val="24"/>
              </w:rPr>
              <w:t xml:space="preserve"> rescue):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4 hour infusion OR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24 hour infusion </w:t>
            </w:r>
          </w:p>
          <w:p w:rsidR="00B701F5" w:rsidRPr="006D579D" w:rsidRDefault="00B701F5" w:rsidP="006D579D">
            <w:pPr>
              <w:numPr>
                <w:ilvl w:val="0"/>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day 4, begin: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prednisone (days 5-32)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vincristine (days 5, 12, 19, 26)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proofErr w:type="spellStart"/>
            <w:r w:rsidRPr="006D579D">
              <w:rPr>
                <w:rFonts w:ascii="Times New Roman" w:eastAsia="Times New Roman" w:hAnsi="Times New Roman" w:cs="Times New Roman"/>
                <w:color w:val="000000"/>
                <w:sz w:val="24"/>
                <w:szCs w:val="24"/>
              </w:rPr>
              <w:t>daunorubicin</w:t>
            </w:r>
            <w:proofErr w:type="spellEnd"/>
            <w:r w:rsidRPr="006D579D">
              <w:rPr>
                <w:rFonts w:ascii="Times New Roman" w:eastAsia="Times New Roman" w:hAnsi="Times New Roman" w:cs="Times New Roman"/>
                <w:color w:val="000000"/>
                <w:sz w:val="24"/>
                <w:szCs w:val="24"/>
              </w:rPr>
              <w:t xml:space="preserve"> (days 5, 12)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proofErr w:type="spellStart"/>
            <w:r w:rsidRPr="006D579D">
              <w:rPr>
                <w:rFonts w:ascii="Times New Roman" w:eastAsia="Times New Roman" w:hAnsi="Times New Roman" w:cs="Times New Roman"/>
                <w:color w:val="000000"/>
                <w:sz w:val="24"/>
                <w:szCs w:val="24"/>
              </w:rPr>
              <w:t>asparaginase</w:t>
            </w:r>
            <w:proofErr w:type="spellEnd"/>
            <w:r w:rsidRPr="006D579D">
              <w:rPr>
                <w:rFonts w:ascii="Times New Roman" w:eastAsia="Times New Roman" w:hAnsi="Times New Roman" w:cs="Times New Roman"/>
                <w:color w:val="000000"/>
                <w:sz w:val="24"/>
                <w:szCs w:val="24"/>
              </w:rPr>
              <w:t xml:space="preserve"> (days 6, 8, 10, 12, 14, 16 (19, 21, 23 depending on BMA result))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TITs - </w:t>
            </w:r>
            <w:proofErr w:type="spellStart"/>
            <w:r w:rsidRPr="006D579D">
              <w:rPr>
                <w:rFonts w:ascii="Times New Roman" w:eastAsia="Times New Roman" w:hAnsi="Times New Roman" w:cs="Times New Roman"/>
                <w:color w:val="000000"/>
                <w:sz w:val="24"/>
                <w:szCs w:val="24"/>
              </w:rPr>
              <w:t>mtx</w:t>
            </w:r>
            <w:proofErr w:type="spellEnd"/>
            <w:r w:rsidRPr="006D579D">
              <w:rPr>
                <w:rFonts w:ascii="Times New Roman" w:eastAsia="Times New Roman" w:hAnsi="Times New Roman" w:cs="Times New Roman"/>
                <w:color w:val="000000"/>
                <w:sz w:val="24"/>
                <w:szCs w:val="24"/>
              </w:rPr>
              <w:t xml:space="preserve">, hydrocortisone, </w:t>
            </w:r>
            <w:proofErr w:type="spellStart"/>
            <w:r w:rsidRPr="006D579D">
              <w:rPr>
                <w:rFonts w:ascii="Times New Roman" w:eastAsia="Times New Roman" w:hAnsi="Times New Roman" w:cs="Times New Roman"/>
                <w:color w:val="000000"/>
                <w:sz w:val="24"/>
                <w:szCs w:val="24"/>
              </w:rPr>
              <w:t>ara</w:t>
            </w:r>
            <w:proofErr w:type="spellEnd"/>
            <w:r w:rsidRPr="006D579D">
              <w:rPr>
                <w:rFonts w:ascii="Times New Roman" w:eastAsia="Times New Roman" w:hAnsi="Times New Roman" w:cs="Times New Roman"/>
                <w:color w:val="000000"/>
                <w:sz w:val="24"/>
                <w:szCs w:val="24"/>
              </w:rPr>
              <w:t xml:space="preserve"> C - day 19, also days 8 and 26 if CNS involvement (and high risk cases) </w:t>
            </w:r>
          </w:p>
          <w:p w:rsidR="00B701F5" w:rsidRPr="006D579D" w:rsidRDefault="00B701F5" w:rsidP="006D579D">
            <w:pPr>
              <w:numPr>
                <w:ilvl w:val="1"/>
                <w:numId w:val="16"/>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cyclophosphamide (day 26) </w:t>
            </w:r>
          </w:p>
          <w:p w:rsidR="00B701F5" w:rsidRPr="006D579D" w:rsidRDefault="00B701F5" w:rsidP="00CE5139">
            <w:pPr>
              <w:numPr>
                <w:ilvl w:val="1"/>
                <w:numId w:val="16"/>
              </w:numPr>
              <w:bidi w:val="0"/>
              <w:spacing w:before="100" w:beforeAutospacing="1" w:after="100" w:afterAutospacing="1"/>
              <w:rPr>
                <w:rFonts w:ascii="Times New Roman" w:eastAsia="Times New Roman" w:hAnsi="Times New Roman" w:cs="Times New Roman"/>
                <w:color w:val="000000"/>
                <w:sz w:val="24"/>
                <w:szCs w:val="24"/>
              </w:rPr>
            </w:pPr>
            <w:proofErr w:type="spellStart"/>
            <w:r w:rsidRPr="006D579D">
              <w:rPr>
                <w:rFonts w:ascii="Times New Roman" w:eastAsia="Times New Roman" w:hAnsi="Times New Roman" w:cs="Times New Roman"/>
                <w:color w:val="000000"/>
                <w:sz w:val="24"/>
                <w:szCs w:val="24"/>
              </w:rPr>
              <w:t>ara</w:t>
            </w:r>
            <w:proofErr w:type="spellEnd"/>
            <w:r w:rsidRPr="006D579D">
              <w:rPr>
                <w:rFonts w:ascii="Times New Roman" w:eastAsia="Times New Roman" w:hAnsi="Times New Roman" w:cs="Times New Roman"/>
                <w:color w:val="000000"/>
                <w:sz w:val="24"/>
                <w:szCs w:val="24"/>
              </w:rPr>
              <w:t xml:space="preserve"> C (days 27-30, 34-37) </w:t>
            </w:r>
          </w:p>
          <w:p w:rsidR="00B701F5" w:rsidRPr="006D579D" w:rsidRDefault="00B701F5" w:rsidP="00CE5139">
            <w:pPr>
              <w:numPr>
                <w:ilvl w:val="1"/>
                <w:numId w:val="16"/>
              </w:numPr>
              <w:bidi w:val="0"/>
              <w:spacing w:before="100" w:beforeAutospacing="1" w:after="100" w:afterAutospacing="1"/>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6MP (days 26-39) </w:t>
            </w:r>
          </w:p>
          <w:p w:rsidR="00B701F5" w:rsidRPr="006D579D" w:rsidRDefault="00B701F5" w:rsidP="00CE5139">
            <w:pPr>
              <w:pStyle w:val="NormalWeb"/>
              <w:bidi w:val="0"/>
              <w:rPr>
                <w:rFonts w:eastAsia="Times New Roman"/>
                <w:b/>
                <w:bCs/>
                <w:color w:val="000000"/>
              </w:rPr>
            </w:pPr>
          </w:p>
          <w:p w:rsidR="00B701F5" w:rsidRPr="006D579D" w:rsidRDefault="00B701F5" w:rsidP="00CE5139">
            <w:pPr>
              <w:pStyle w:val="NormalWeb"/>
              <w:bidi w:val="0"/>
              <w:rPr>
                <w:rFonts w:eastAsia="Times New Roman"/>
                <w:b/>
                <w:bCs/>
                <w:color w:val="000000"/>
              </w:rPr>
            </w:pPr>
          </w:p>
        </w:tc>
      </w:tr>
      <w:tr w:rsidR="00B701F5" w:rsidTr="00071DED">
        <w:tc>
          <w:tcPr>
            <w:tcW w:w="9123" w:type="dxa"/>
            <w:gridSpan w:val="3"/>
          </w:tcPr>
          <w:p w:rsidR="00B701F5" w:rsidRPr="006D579D" w:rsidRDefault="00B701F5" w:rsidP="006D579D">
            <w:pPr>
              <w:bidi w:val="0"/>
              <w:spacing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b/>
                <w:bCs/>
                <w:color w:val="000000"/>
                <w:sz w:val="24"/>
                <w:szCs w:val="24"/>
              </w:rPr>
              <w:t>BMAs done</w:t>
            </w:r>
            <w:r w:rsidRPr="006D579D">
              <w:rPr>
                <w:rFonts w:ascii="Times New Roman" w:eastAsia="Times New Roman" w:hAnsi="Times New Roman" w:cs="Times New Roman"/>
                <w:color w:val="000000"/>
                <w:sz w:val="24"/>
                <w:szCs w:val="24"/>
              </w:rPr>
              <w:t>:</w:t>
            </w:r>
          </w:p>
          <w:p w:rsidR="00B701F5" w:rsidRPr="006D579D" w:rsidRDefault="00B701F5" w:rsidP="006D579D">
            <w:pPr>
              <w:numPr>
                <w:ilvl w:val="0"/>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day 19; if greater than 5% blasts, add asp days 19, 21, 23 </w:t>
            </w:r>
          </w:p>
          <w:p w:rsidR="00B701F5" w:rsidRPr="006D579D" w:rsidRDefault="00B701F5" w:rsidP="006D579D">
            <w:pPr>
              <w:numPr>
                <w:ilvl w:val="0"/>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day 26 done if any blasts at all were seen on day 19 </w:t>
            </w:r>
          </w:p>
          <w:p w:rsidR="00B701F5" w:rsidRPr="006D579D" w:rsidRDefault="00B701F5" w:rsidP="006D579D">
            <w:pPr>
              <w:numPr>
                <w:ilvl w:val="0"/>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proofErr w:type="gramStart"/>
            <w:r w:rsidRPr="006D579D">
              <w:rPr>
                <w:rFonts w:ascii="Times New Roman" w:eastAsia="Times New Roman" w:hAnsi="Times New Roman" w:cs="Times New Roman"/>
                <w:color w:val="000000"/>
                <w:sz w:val="24"/>
                <w:szCs w:val="24"/>
              </w:rPr>
              <w:t>day</w:t>
            </w:r>
            <w:proofErr w:type="gramEnd"/>
            <w:r w:rsidRPr="006D579D">
              <w:rPr>
                <w:rFonts w:ascii="Times New Roman" w:eastAsia="Times New Roman" w:hAnsi="Times New Roman" w:cs="Times New Roman"/>
                <w:color w:val="000000"/>
                <w:sz w:val="24"/>
                <w:szCs w:val="24"/>
              </w:rPr>
              <w:t xml:space="preserve"> 43 to 46 - remission-induction BMA, when ANC is greater than 300. MRD is done. </w:t>
            </w:r>
          </w:p>
          <w:p w:rsidR="00B701F5" w:rsidRPr="006D579D" w:rsidRDefault="00B701F5" w:rsidP="006D579D">
            <w:pPr>
              <w:numPr>
                <w:ilvl w:val="1"/>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poor-response is when MRD is greater than 0.01% </w:t>
            </w:r>
          </w:p>
          <w:p w:rsidR="00B701F5" w:rsidRPr="006D579D" w:rsidRDefault="00B701F5" w:rsidP="006D579D">
            <w:pPr>
              <w:numPr>
                <w:ilvl w:val="2"/>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if the patient was low- or standard-risk before this, they now become (or remain) standard risk if MRD is 0.01-1% </w:t>
            </w:r>
          </w:p>
          <w:p w:rsidR="00B701F5" w:rsidRPr="006D579D" w:rsidRDefault="00B701F5" w:rsidP="006D579D">
            <w:pPr>
              <w:numPr>
                <w:ilvl w:val="2"/>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proofErr w:type="spellStart"/>
            <w:r w:rsidRPr="006D579D">
              <w:rPr>
                <w:rFonts w:ascii="Times New Roman" w:eastAsia="Times New Roman" w:hAnsi="Times New Roman" w:cs="Times New Roman"/>
                <w:color w:val="000000"/>
                <w:sz w:val="24"/>
                <w:szCs w:val="24"/>
              </w:rPr>
              <w:t>what ever</w:t>
            </w:r>
            <w:proofErr w:type="spellEnd"/>
            <w:r w:rsidRPr="006D579D">
              <w:rPr>
                <w:rFonts w:ascii="Times New Roman" w:eastAsia="Times New Roman" w:hAnsi="Times New Roman" w:cs="Times New Roman"/>
                <w:color w:val="000000"/>
                <w:sz w:val="24"/>
                <w:szCs w:val="24"/>
              </w:rPr>
              <w:t xml:space="preserve"> the previous risk, if MRD is greater than or equal to 1%, they become high risk </w:t>
            </w:r>
          </w:p>
          <w:p w:rsidR="00B701F5" w:rsidRPr="006D579D" w:rsidRDefault="00B701F5" w:rsidP="006D579D">
            <w:pPr>
              <w:numPr>
                <w:ilvl w:val="1"/>
                <w:numId w:val="17"/>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lastRenderedPageBreak/>
              <w:t xml:space="preserve">induction failure is when the value is greater than 1% leukemic cells in the bone marrow </w:t>
            </w:r>
          </w:p>
          <w:p w:rsidR="00B701F5" w:rsidRDefault="00B701F5" w:rsidP="00CE5139">
            <w:pPr>
              <w:pStyle w:val="NormalWeb"/>
              <w:bidi w:val="0"/>
              <w:rPr>
                <w:rFonts w:eastAsia="Times New Roman"/>
                <w:b/>
                <w:bCs/>
                <w:color w:val="000000"/>
              </w:rPr>
            </w:pPr>
          </w:p>
        </w:tc>
      </w:tr>
      <w:tr w:rsidR="00B701F5" w:rsidTr="00071DED">
        <w:tc>
          <w:tcPr>
            <w:tcW w:w="2269" w:type="dxa"/>
            <w:gridSpan w:val="2"/>
          </w:tcPr>
          <w:p w:rsidR="00B701F5" w:rsidRPr="006D579D" w:rsidRDefault="00B701F5" w:rsidP="00CE5139">
            <w:pPr>
              <w:bidi w:val="0"/>
              <w:spacing w:before="100" w:beforeAutospacing="1" w:after="100" w:afterAutospacing="1"/>
              <w:rPr>
                <w:rFonts w:ascii="Times New Roman" w:eastAsia="Times New Roman" w:hAnsi="Times New Roman" w:cs="Times New Roman"/>
                <w:color w:val="000000"/>
                <w:sz w:val="24"/>
                <w:szCs w:val="24"/>
              </w:rPr>
            </w:pPr>
            <w:r w:rsidRPr="006D579D">
              <w:rPr>
                <w:rFonts w:ascii="Times New Roman" w:eastAsia="Times New Roman" w:hAnsi="Times New Roman" w:cs="Times New Roman"/>
                <w:b/>
                <w:bCs/>
                <w:color w:val="000000"/>
                <w:sz w:val="24"/>
                <w:szCs w:val="24"/>
              </w:rPr>
              <w:lastRenderedPageBreak/>
              <w:t>Consolidation</w:t>
            </w:r>
            <w:r w:rsidRPr="006D579D">
              <w:rPr>
                <w:rFonts w:ascii="Times New Roman" w:eastAsia="Times New Roman" w:hAnsi="Times New Roman" w:cs="Times New Roman"/>
                <w:color w:val="000000"/>
                <w:sz w:val="24"/>
                <w:szCs w:val="24"/>
              </w:rPr>
              <w:t xml:space="preserve"> (8 weeks)</w:t>
            </w:r>
          </w:p>
          <w:p w:rsidR="00B701F5" w:rsidRPr="006D579D" w:rsidRDefault="00B701F5" w:rsidP="00CE5139">
            <w:pPr>
              <w:pStyle w:val="NormalWeb"/>
              <w:bidi w:val="0"/>
              <w:rPr>
                <w:rFonts w:eastAsia="Times New Roman"/>
                <w:b/>
                <w:bCs/>
                <w:color w:val="000000"/>
              </w:rPr>
            </w:pPr>
          </w:p>
        </w:tc>
        <w:tc>
          <w:tcPr>
            <w:tcW w:w="6854" w:type="dxa"/>
          </w:tcPr>
          <w:p w:rsidR="00B701F5" w:rsidRPr="006D579D" w:rsidRDefault="00B701F5" w:rsidP="006D579D">
            <w:pPr>
              <w:numPr>
                <w:ilvl w:val="0"/>
                <w:numId w:val="18"/>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high-dose MTX (HDMTX), days 1, 15, 29, 43 (IV with </w:t>
            </w:r>
            <w:proofErr w:type="spellStart"/>
            <w:r w:rsidRPr="006D579D">
              <w:rPr>
                <w:rFonts w:ascii="Times New Roman" w:eastAsia="Times New Roman" w:hAnsi="Times New Roman" w:cs="Times New Roman"/>
                <w:color w:val="000000"/>
                <w:sz w:val="24"/>
                <w:szCs w:val="24"/>
              </w:rPr>
              <w:t>leucovorin</w:t>
            </w:r>
            <w:proofErr w:type="spellEnd"/>
            <w:r w:rsidRPr="006D579D">
              <w:rPr>
                <w:rFonts w:ascii="Times New Roman" w:eastAsia="Times New Roman" w:hAnsi="Times New Roman" w:cs="Times New Roman"/>
                <w:color w:val="000000"/>
                <w:sz w:val="24"/>
                <w:szCs w:val="24"/>
              </w:rPr>
              <w:t xml:space="preserve"> rescue, 24 hour infusion) </w:t>
            </w:r>
          </w:p>
          <w:p w:rsidR="00B701F5" w:rsidRPr="006D579D" w:rsidRDefault="00B701F5" w:rsidP="006D579D">
            <w:pPr>
              <w:numPr>
                <w:ilvl w:val="1"/>
                <w:numId w:val="18"/>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dose depends on risk classification and on each patient's estimated systemic clearance (5 gm/m2 for standard and high risk, 2.5 g/m2 for low risk) </w:t>
            </w:r>
          </w:p>
          <w:p w:rsidR="00B701F5" w:rsidRPr="006D579D" w:rsidRDefault="00B701F5" w:rsidP="006D579D">
            <w:pPr>
              <w:numPr>
                <w:ilvl w:val="0"/>
                <w:numId w:val="18"/>
              </w:num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6MP every day for 8 weeks </w:t>
            </w:r>
          </w:p>
          <w:p w:rsidR="00B701F5" w:rsidRPr="006D579D" w:rsidRDefault="00B701F5" w:rsidP="00CE5139">
            <w:pPr>
              <w:numPr>
                <w:ilvl w:val="0"/>
                <w:numId w:val="18"/>
              </w:numPr>
              <w:bidi w:val="0"/>
              <w:spacing w:before="100" w:beforeAutospacing="1" w:after="100" w:afterAutospacing="1"/>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ITs days 1, 8, 15 </w:t>
            </w:r>
          </w:p>
          <w:p w:rsidR="00B701F5" w:rsidRPr="006D579D" w:rsidRDefault="00B701F5" w:rsidP="00CE5139">
            <w:pPr>
              <w:pStyle w:val="NormalWeb"/>
              <w:bidi w:val="0"/>
              <w:rPr>
                <w:rFonts w:eastAsia="Times New Roman"/>
                <w:b/>
                <w:bCs/>
                <w:color w:val="000000"/>
              </w:rPr>
            </w:pPr>
          </w:p>
        </w:tc>
      </w:tr>
      <w:tr w:rsidR="00B701F5" w:rsidTr="00071DED">
        <w:tc>
          <w:tcPr>
            <w:tcW w:w="2269" w:type="dxa"/>
            <w:gridSpan w:val="2"/>
            <w:tcBorders>
              <w:bottom w:val="single" w:sz="4" w:space="0" w:color="auto"/>
            </w:tcBorders>
          </w:tcPr>
          <w:p w:rsidR="00B701F5" w:rsidRPr="006D579D" w:rsidRDefault="00B701F5" w:rsidP="00CE5139">
            <w:pPr>
              <w:pStyle w:val="NormalWeb"/>
              <w:bidi w:val="0"/>
              <w:rPr>
                <w:rFonts w:eastAsia="Times New Roman"/>
                <w:b/>
                <w:bCs/>
                <w:color w:val="000000"/>
              </w:rPr>
            </w:pPr>
            <w:proofErr w:type="spellStart"/>
            <w:r w:rsidRPr="006D579D">
              <w:rPr>
                <w:rFonts w:eastAsia="Times New Roman"/>
                <w:b/>
                <w:bCs/>
                <w:color w:val="000000"/>
              </w:rPr>
              <w:t>Reintensification</w:t>
            </w:r>
            <w:proofErr w:type="spellEnd"/>
            <w:r w:rsidRPr="006D579D">
              <w:rPr>
                <w:rFonts w:eastAsia="Times New Roman"/>
                <w:b/>
                <w:bCs/>
                <w:color w:val="000000"/>
              </w:rPr>
              <w:t xml:space="preserve"> Treatment</w:t>
            </w:r>
          </w:p>
        </w:tc>
        <w:tc>
          <w:tcPr>
            <w:tcW w:w="6854" w:type="dxa"/>
            <w:tcBorders>
              <w:bottom w:val="single" w:sz="4" w:space="0" w:color="auto"/>
            </w:tcBorders>
          </w:tcPr>
          <w:p w:rsidR="00B701F5" w:rsidRPr="006D579D" w:rsidRDefault="00B701F5" w:rsidP="006D579D">
            <w:pPr>
              <w:bidi w:val="0"/>
              <w:spacing w:before="100"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(only for </w:t>
            </w:r>
            <w:r w:rsidRPr="006D579D">
              <w:rPr>
                <w:rFonts w:ascii="Times New Roman" w:eastAsia="Times New Roman" w:hAnsi="Times New Roman" w:cs="Times New Roman"/>
                <w:b/>
                <w:bCs/>
                <w:color w:val="000000"/>
                <w:sz w:val="24"/>
                <w:szCs w:val="24"/>
              </w:rPr>
              <w:t>high-risk</w:t>
            </w:r>
            <w:r w:rsidRPr="006D579D">
              <w:rPr>
                <w:rFonts w:ascii="Times New Roman" w:eastAsia="Times New Roman" w:hAnsi="Times New Roman" w:cs="Times New Roman"/>
                <w:color w:val="000000"/>
                <w:sz w:val="24"/>
                <w:szCs w:val="24"/>
              </w:rPr>
              <w:t xml:space="preserve"> patients)</w:t>
            </w:r>
          </w:p>
          <w:p w:rsidR="00B701F5" w:rsidRPr="006D579D" w:rsidRDefault="00B701F5" w:rsidP="006D579D">
            <w:pPr>
              <w:bidi w:val="0"/>
              <w:spacing w:beforeAutospacing="1" w:after="100" w:afterAutospacing="1" w:line="360" w:lineRule="auto"/>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Patients are re-intensified with dexamethasone, </w:t>
            </w:r>
            <w:proofErr w:type="spellStart"/>
            <w:r w:rsidRPr="006D579D">
              <w:rPr>
                <w:rFonts w:ascii="Times New Roman" w:eastAsia="Times New Roman" w:hAnsi="Times New Roman" w:cs="Times New Roman"/>
                <w:color w:val="000000"/>
                <w:sz w:val="24"/>
                <w:szCs w:val="24"/>
              </w:rPr>
              <w:t>ara</w:t>
            </w:r>
            <w:proofErr w:type="spellEnd"/>
            <w:r w:rsidRPr="006D579D">
              <w:rPr>
                <w:rFonts w:ascii="Times New Roman" w:eastAsia="Times New Roman" w:hAnsi="Times New Roman" w:cs="Times New Roman"/>
                <w:color w:val="000000"/>
                <w:sz w:val="24"/>
                <w:szCs w:val="24"/>
              </w:rPr>
              <w:t xml:space="preserve"> C, etoposide, L-asp, and TITs over a 6 week period, and then offered the option of BMT; the </w:t>
            </w:r>
            <w:proofErr w:type="spellStart"/>
            <w:r w:rsidRPr="006D579D">
              <w:rPr>
                <w:rFonts w:ascii="Times New Roman" w:eastAsia="Times New Roman" w:hAnsi="Times New Roman" w:cs="Times New Roman"/>
                <w:color w:val="000000"/>
                <w:sz w:val="24"/>
                <w:szCs w:val="24"/>
              </w:rPr>
              <w:t>reintensification</w:t>
            </w:r>
            <w:proofErr w:type="spellEnd"/>
            <w:r w:rsidRPr="006D579D">
              <w:rPr>
                <w:rFonts w:ascii="Times New Roman" w:eastAsia="Times New Roman" w:hAnsi="Times New Roman" w:cs="Times New Roman"/>
                <w:color w:val="000000"/>
                <w:sz w:val="24"/>
                <w:szCs w:val="24"/>
              </w:rPr>
              <w:t xml:space="preserve"> is sometimes repeated. Some patients do not have a BMT and continue on the therapy outlined below.</w:t>
            </w:r>
          </w:p>
          <w:p w:rsidR="00B701F5" w:rsidRPr="006D579D" w:rsidRDefault="00B701F5" w:rsidP="00CE5139">
            <w:pPr>
              <w:pStyle w:val="NormalWeb"/>
              <w:bidi w:val="0"/>
              <w:rPr>
                <w:rFonts w:eastAsia="Times New Roman"/>
                <w:b/>
                <w:bCs/>
                <w:color w:val="000000"/>
              </w:rPr>
            </w:pPr>
          </w:p>
        </w:tc>
      </w:tr>
      <w:tr w:rsidR="00B701F5" w:rsidTr="00071DED">
        <w:tc>
          <w:tcPr>
            <w:tcW w:w="2269" w:type="dxa"/>
            <w:gridSpan w:val="2"/>
            <w:tcBorders>
              <w:top w:val="single" w:sz="4" w:space="0" w:color="auto"/>
              <w:left w:val="single" w:sz="4" w:space="0" w:color="auto"/>
              <w:bottom w:val="single" w:sz="4" w:space="0" w:color="auto"/>
              <w:right w:val="single" w:sz="4" w:space="0" w:color="auto"/>
            </w:tcBorders>
          </w:tcPr>
          <w:p w:rsidR="00B701F5" w:rsidRPr="006D579D" w:rsidRDefault="00B701F5" w:rsidP="00CE5139">
            <w:pPr>
              <w:bidi w:val="0"/>
              <w:spacing w:before="100" w:beforeAutospacing="1" w:after="100" w:afterAutospacing="1"/>
              <w:rPr>
                <w:rFonts w:ascii="Times New Roman" w:eastAsia="Times New Roman" w:hAnsi="Times New Roman" w:cs="Times New Roman"/>
                <w:color w:val="000000"/>
                <w:sz w:val="24"/>
                <w:szCs w:val="24"/>
              </w:rPr>
            </w:pPr>
            <w:r w:rsidRPr="006D579D">
              <w:rPr>
                <w:rFonts w:ascii="Times New Roman" w:eastAsia="Times New Roman" w:hAnsi="Times New Roman" w:cs="Times New Roman"/>
                <w:b/>
                <w:bCs/>
                <w:color w:val="000000"/>
                <w:sz w:val="24"/>
                <w:szCs w:val="24"/>
              </w:rPr>
              <w:t>Continuation</w:t>
            </w:r>
            <w:r w:rsidRPr="006D579D">
              <w:rPr>
                <w:rFonts w:ascii="Times New Roman" w:eastAsia="Times New Roman" w:hAnsi="Times New Roman" w:cs="Times New Roman"/>
                <w:color w:val="000000"/>
                <w:sz w:val="24"/>
                <w:szCs w:val="24"/>
              </w:rPr>
              <w:t xml:space="preserve"> (120 weeks for girls and 146 weeks for boys)</w:t>
            </w:r>
          </w:p>
          <w:p w:rsidR="00B701F5" w:rsidRPr="006D579D" w:rsidRDefault="00B701F5" w:rsidP="00CE5139">
            <w:pPr>
              <w:pStyle w:val="NormalWeb"/>
              <w:bidi w:val="0"/>
              <w:rPr>
                <w:rFonts w:eastAsia="Times New Roman"/>
                <w:b/>
                <w:bCs/>
                <w:color w:val="000000"/>
              </w:rPr>
            </w:pPr>
          </w:p>
        </w:tc>
        <w:tc>
          <w:tcPr>
            <w:tcW w:w="6854" w:type="dxa"/>
            <w:tcBorders>
              <w:top w:val="single" w:sz="4" w:space="0" w:color="auto"/>
              <w:left w:val="single" w:sz="4" w:space="0" w:color="auto"/>
              <w:bottom w:val="single" w:sz="4" w:space="0" w:color="auto"/>
              <w:right w:val="single" w:sz="4" w:space="0" w:color="auto"/>
            </w:tcBorders>
          </w:tcPr>
          <w:p w:rsidR="00B701F5" w:rsidRPr="006D579D" w:rsidRDefault="00B701F5" w:rsidP="006D579D">
            <w:pPr>
              <w:bidi w:val="0"/>
              <w:spacing w:before="100" w:beforeAutospacing="1" w:after="100" w:afterAutospacing="1" w:line="360" w:lineRule="auto"/>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weeks 1-6 and 10-16</w:t>
            </w:r>
          </w:p>
          <w:p w:rsidR="00B701F5" w:rsidRPr="006D579D" w:rsidRDefault="00B701F5" w:rsidP="006D579D">
            <w:pPr>
              <w:numPr>
                <w:ilvl w:val="0"/>
                <w:numId w:val="19"/>
              </w:numPr>
              <w:bidi w:val="0"/>
              <w:spacing w:before="100" w:beforeAutospacing="1" w:after="100" w:afterAutospacing="1" w:line="360" w:lineRule="auto"/>
              <w:ind w:left="1440"/>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dexamethasone, doxorubicin, vincristine, 6 MP, and L-asp weeks 1 and 4: doses differ for different risk groups </w:t>
            </w:r>
          </w:p>
          <w:p w:rsidR="00B701F5" w:rsidRPr="006D579D" w:rsidRDefault="00B701F5" w:rsidP="006D579D">
            <w:pPr>
              <w:numPr>
                <w:ilvl w:val="0"/>
                <w:numId w:val="19"/>
              </w:numPr>
              <w:bidi w:val="0"/>
              <w:spacing w:before="100" w:beforeAutospacing="1" w:after="100" w:afterAutospacing="1" w:line="360" w:lineRule="auto"/>
              <w:ind w:left="1440"/>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6 MP and L-asp weeks 2, 3, 5, 6. </w:t>
            </w:r>
          </w:p>
          <w:p w:rsidR="00B701F5" w:rsidRPr="006D579D" w:rsidRDefault="00B701F5" w:rsidP="006D579D">
            <w:pPr>
              <w:bidi w:val="0"/>
              <w:spacing w:before="100" w:beforeAutospacing="1" w:after="100" w:afterAutospacing="1" w:line="360" w:lineRule="auto"/>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weeks 7-9, 17-20 re-induction</w:t>
            </w:r>
          </w:p>
          <w:p w:rsidR="00B701F5" w:rsidRPr="006D579D" w:rsidRDefault="00B701F5" w:rsidP="006D579D">
            <w:pPr>
              <w:numPr>
                <w:ilvl w:val="0"/>
                <w:numId w:val="20"/>
              </w:numPr>
              <w:bidi w:val="0"/>
              <w:spacing w:before="100" w:beforeAutospacing="1" w:after="100" w:afterAutospacing="1" w:line="360" w:lineRule="auto"/>
              <w:ind w:left="1440"/>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dexamethasone, vincristine, doxorubicin, L-asp, TITs, </w:t>
            </w:r>
            <w:proofErr w:type="spellStart"/>
            <w:r w:rsidRPr="006D579D">
              <w:rPr>
                <w:rFonts w:ascii="Times New Roman" w:eastAsia="Times New Roman" w:hAnsi="Times New Roman" w:cs="Times New Roman"/>
                <w:color w:val="000000"/>
                <w:sz w:val="24"/>
                <w:szCs w:val="24"/>
              </w:rPr>
              <w:t>ara</w:t>
            </w:r>
            <w:proofErr w:type="spellEnd"/>
            <w:r w:rsidRPr="006D579D">
              <w:rPr>
                <w:rFonts w:ascii="Times New Roman" w:eastAsia="Times New Roman" w:hAnsi="Times New Roman" w:cs="Times New Roman"/>
                <w:color w:val="000000"/>
                <w:sz w:val="24"/>
                <w:szCs w:val="24"/>
              </w:rPr>
              <w:t xml:space="preserve"> C: doses and schedules differ for different risk groups </w:t>
            </w:r>
          </w:p>
          <w:p w:rsidR="00B701F5" w:rsidRPr="006D579D" w:rsidRDefault="00B701F5" w:rsidP="006D579D">
            <w:pPr>
              <w:bidi w:val="0"/>
              <w:spacing w:before="100" w:beforeAutospacing="1" w:after="100" w:afterAutospacing="1" w:line="360" w:lineRule="auto"/>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weeks 21 to end of therapy</w:t>
            </w:r>
          </w:p>
          <w:p w:rsidR="00B701F5" w:rsidRPr="006D579D" w:rsidRDefault="00B701F5" w:rsidP="006D579D">
            <w:pPr>
              <w:numPr>
                <w:ilvl w:val="0"/>
                <w:numId w:val="21"/>
              </w:numPr>
              <w:bidi w:val="0"/>
              <w:spacing w:before="100" w:beforeAutospacing="1" w:after="100" w:afterAutospacing="1" w:line="360" w:lineRule="auto"/>
              <w:ind w:left="1440"/>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low risk: 6 MP (daily), MTX (weekly), </w:t>
            </w:r>
            <w:r w:rsidRPr="006D579D">
              <w:rPr>
                <w:rFonts w:ascii="Times New Roman" w:eastAsia="Times New Roman" w:hAnsi="Times New Roman" w:cs="Times New Roman"/>
                <w:color w:val="000000"/>
                <w:sz w:val="24"/>
                <w:szCs w:val="24"/>
              </w:rPr>
              <w:lastRenderedPageBreak/>
              <w:t xml:space="preserve">dexamethasone and vincristine (every 4 weeks) </w:t>
            </w:r>
          </w:p>
          <w:p w:rsidR="00B701F5" w:rsidRPr="006D579D" w:rsidRDefault="00B701F5" w:rsidP="006D579D">
            <w:pPr>
              <w:numPr>
                <w:ilvl w:val="0"/>
                <w:numId w:val="21"/>
              </w:numPr>
              <w:bidi w:val="0"/>
              <w:spacing w:before="100" w:beforeAutospacing="1" w:after="100" w:afterAutospacing="1" w:line="360" w:lineRule="auto"/>
              <w:ind w:left="1440"/>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standard and high risk: 6 MP, MTX, dexamethasone and vincristine (every 4 weeks), cyclophosphamide and </w:t>
            </w:r>
            <w:proofErr w:type="spellStart"/>
            <w:r w:rsidRPr="006D579D">
              <w:rPr>
                <w:rFonts w:ascii="Times New Roman" w:eastAsia="Times New Roman" w:hAnsi="Times New Roman" w:cs="Times New Roman"/>
                <w:color w:val="000000"/>
                <w:sz w:val="24"/>
                <w:szCs w:val="24"/>
              </w:rPr>
              <w:t>ara</w:t>
            </w:r>
            <w:proofErr w:type="spellEnd"/>
            <w:r w:rsidRPr="006D579D">
              <w:rPr>
                <w:rFonts w:ascii="Times New Roman" w:eastAsia="Times New Roman" w:hAnsi="Times New Roman" w:cs="Times New Roman"/>
                <w:color w:val="000000"/>
                <w:sz w:val="24"/>
                <w:szCs w:val="24"/>
              </w:rPr>
              <w:t xml:space="preserve"> C (every 4 weeks) </w:t>
            </w:r>
          </w:p>
          <w:p w:rsidR="00B701F5" w:rsidRPr="006D579D" w:rsidRDefault="00B701F5" w:rsidP="006D579D">
            <w:pPr>
              <w:numPr>
                <w:ilvl w:val="0"/>
                <w:numId w:val="21"/>
              </w:numPr>
              <w:bidi w:val="0"/>
              <w:spacing w:before="100" w:beforeAutospacing="1" w:after="100" w:afterAutospacing="1" w:line="360" w:lineRule="auto"/>
              <w:ind w:left="1440"/>
              <w:jc w:val="lowKashida"/>
              <w:rPr>
                <w:rFonts w:ascii="Times New Roman" w:eastAsia="Times New Roman" w:hAnsi="Times New Roman" w:cs="Times New Roman"/>
                <w:color w:val="000000"/>
                <w:sz w:val="24"/>
                <w:szCs w:val="24"/>
              </w:rPr>
            </w:pPr>
            <w:r w:rsidRPr="006D579D">
              <w:rPr>
                <w:rFonts w:ascii="Times New Roman" w:eastAsia="Times New Roman" w:hAnsi="Times New Roman" w:cs="Times New Roman"/>
                <w:color w:val="000000"/>
                <w:sz w:val="24"/>
                <w:szCs w:val="24"/>
              </w:rPr>
              <w:t xml:space="preserve">TITs vary for different risk groups </w:t>
            </w:r>
          </w:p>
          <w:p w:rsidR="00B701F5" w:rsidRPr="006D579D" w:rsidRDefault="00B701F5" w:rsidP="00CE5139">
            <w:pPr>
              <w:bidi w:val="0"/>
              <w:spacing w:before="100" w:beforeAutospacing="1" w:after="100" w:afterAutospacing="1"/>
              <w:rPr>
                <w:rFonts w:ascii="Times New Roman" w:eastAsia="Times New Roman" w:hAnsi="Times New Roman" w:cs="Times New Roman"/>
                <w:color w:val="000000"/>
                <w:sz w:val="24"/>
                <w:szCs w:val="24"/>
              </w:rPr>
            </w:pPr>
          </w:p>
        </w:tc>
      </w:tr>
    </w:tbl>
    <w:p w:rsidR="006D579D" w:rsidRDefault="006D579D" w:rsidP="006D7023">
      <w:pPr>
        <w:bidi w:val="0"/>
        <w:spacing w:line="360" w:lineRule="auto"/>
        <w:jc w:val="lowKashida"/>
        <w:rPr>
          <w:rFonts w:asciiTheme="majorBidi" w:hAnsiTheme="majorBidi" w:cstheme="majorBidi"/>
          <w:b/>
          <w:bCs/>
          <w:sz w:val="28"/>
          <w:szCs w:val="28"/>
        </w:rPr>
      </w:pPr>
    </w:p>
    <w:p w:rsidR="005736AE" w:rsidRPr="00B701F5" w:rsidRDefault="00B701F5" w:rsidP="006D579D">
      <w:pPr>
        <w:bidi w:val="0"/>
        <w:spacing w:line="360" w:lineRule="auto"/>
        <w:jc w:val="lowKashida"/>
        <w:rPr>
          <w:rFonts w:asciiTheme="majorBidi" w:hAnsiTheme="majorBidi" w:cstheme="majorBidi"/>
          <w:b/>
          <w:bCs/>
          <w:i/>
          <w:iCs/>
          <w:sz w:val="28"/>
          <w:szCs w:val="28"/>
        </w:rPr>
      </w:pPr>
      <w:r>
        <w:rPr>
          <w:rFonts w:asciiTheme="majorBidi" w:hAnsiTheme="majorBidi" w:cstheme="majorBidi"/>
          <w:b/>
          <w:bCs/>
          <w:sz w:val="28"/>
          <w:szCs w:val="28"/>
        </w:rPr>
        <w:t>2-</w:t>
      </w:r>
      <w:r w:rsidR="005736AE" w:rsidRPr="00B701F5">
        <w:rPr>
          <w:rFonts w:asciiTheme="majorBidi" w:hAnsiTheme="majorBidi" w:cstheme="majorBidi"/>
          <w:b/>
          <w:bCs/>
          <w:sz w:val="28"/>
          <w:szCs w:val="28"/>
        </w:rPr>
        <w:t>Clinical advances in specific subtypes of ALL:</w:t>
      </w:r>
    </w:p>
    <w:p w:rsidR="00835C50" w:rsidRDefault="00933C01" w:rsidP="007422A1">
      <w:pPr>
        <w:pStyle w:val="ListParagraph"/>
        <w:bidi w:val="0"/>
        <w:spacing w:line="360" w:lineRule="auto"/>
        <w:ind w:left="0"/>
        <w:jc w:val="lowKashida"/>
        <w:rPr>
          <w:rFonts w:asciiTheme="majorBidi" w:hAnsiTheme="majorBidi" w:cstheme="majorBidi"/>
          <w:b/>
          <w:bCs/>
          <w:i/>
          <w:iCs/>
          <w:sz w:val="28"/>
          <w:szCs w:val="28"/>
        </w:rPr>
      </w:pPr>
      <w:r w:rsidRPr="005736AE">
        <w:rPr>
          <w:rFonts w:asciiTheme="majorBidi" w:hAnsiTheme="majorBidi" w:cstheme="majorBidi"/>
          <w:b/>
          <w:bCs/>
          <w:i/>
          <w:iCs/>
          <w:sz w:val="28"/>
          <w:szCs w:val="28"/>
        </w:rPr>
        <w:t xml:space="preserve"> </w:t>
      </w:r>
      <w:r w:rsidR="007422A1">
        <w:rPr>
          <w:rFonts w:asciiTheme="majorBidi" w:hAnsiTheme="majorBidi" w:cstheme="majorBidi"/>
          <w:sz w:val="28"/>
          <w:szCs w:val="28"/>
        </w:rPr>
        <w:t xml:space="preserve">       </w:t>
      </w:r>
      <w:r w:rsidR="005736AE" w:rsidRPr="005736AE">
        <w:rPr>
          <w:rFonts w:asciiTheme="majorBidi" w:hAnsiTheme="majorBidi" w:cstheme="majorBidi"/>
          <w:sz w:val="28"/>
          <w:szCs w:val="28"/>
        </w:rPr>
        <w:t xml:space="preserve">Chromosomal translocation of chromosomes 9 and 22, known as the Philadelphia chromosome and resulting in the fusion product BCR-ABL, occurs in approximately 3% of childhood ALL. Although these patients are classified as high risk, the introduction of </w:t>
      </w:r>
      <w:proofErr w:type="spellStart"/>
      <w:r w:rsidR="005736AE" w:rsidRPr="00F66967">
        <w:rPr>
          <w:rFonts w:asciiTheme="majorBidi" w:hAnsiTheme="majorBidi" w:cstheme="majorBidi"/>
          <w:b/>
          <w:bCs/>
          <w:sz w:val="28"/>
          <w:szCs w:val="28"/>
        </w:rPr>
        <w:t>imatinib</w:t>
      </w:r>
      <w:proofErr w:type="spellEnd"/>
      <w:r w:rsidR="005736AE" w:rsidRPr="005736AE">
        <w:rPr>
          <w:rFonts w:asciiTheme="majorBidi" w:hAnsiTheme="majorBidi" w:cstheme="majorBidi"/>
          <w:sz w:val="28"/>
          <w:szCs w:val="28"/>
        </w:rPr>
        <w:t>, a tyrosine kinase inhibitor that targets the BCR-ABL fusion protein, has markedly improved the outcome of this disease.</w:t>
      </w:r>
      <w:r w:rsidR="007422A1" w:rsidRPr="007422A1">
        <w:rPr>
          <w:rFonts w:asciiTheme="majorBidi" w:hAnsiTheme="majorBidi" w:cstheme="majorBidi"/>
          <w:sz w:val="28"/>
          <w:szCs w:val="28"/>
        </w:rPr>
        <w:t xml:space="preserve"> </w:t>
      </w:r>
      <w:r w:rsidR="007422A1" w:rsidRPr="005736AE">
        <w:rPr>
          <w:rFonts w:asciiTheme="majorBidi" w:hAnsiTheme="majorBidi" w:cstheme="majorBidi"/>
          <w:sz w:val="28"/>
          <w:szCs w:val="28"/>
        </w:rPr>
        <w:t xml:space="preserve">Newer generations of tyrosine kinase inhibitors (such as </w:t>
      </w:r>
      <w:proofErr w:type="spellStart"/>
      <w:r w:rsidR="007422A1" w:rsidRPr="00F66967">
        <w:rPr>
          <w:rFonts w:asciiTheme="majorBidi" w:hAnsiTheme="majorBidi" w:cstheme="majorBidi"/>
          <w:b/>
          <w:bCs/>
          <w:sz w:val="28"/>
          <w:szCs w:val="28"/>
        </w:rPr>
        <w:t>dasatinib</w:t>
      </w:r>
      <w:proofErr w:type="spellEnd"/>
      <w:r w:rsidR="007422A1" w:rsidRPr="00F66967">
        <w:rPr>
          <w:rFonts w:asciiTheme="majorBidi" w:hAnsiTheme="majorBidi" w:cstheme="majorBidi"/>
          <w:b/>
          <w:bCs/>
          <w:sz w:val="28"/>
          <w:szCs w:val="28"/>
        </w:rPr>
        <w:t xml:space="preserve">, </w:t>
      </w:r>
      <w:proofErr w:type="spellStart"/>
      <w:r w:rsidR="007422A1" w:rsidRPr="00F66967">
        <w:rPr>
          <w:rFonts w:asciiTheme="majorBidi" w:hAnsiTheme="majorBidi" w:cstheme="majorBidi"/>
          <w:b/>
          <w:bCs/>
          <w:sz w:val="28"/>
          <w:szCs w:val="28"/>
        </w:rPr>
        <w:t>nilotinib</w:t>
      </w:r>
      <w:proofErr w:type="spellEnd"/>
      <w:r w:rsidR="007422A1" w:rsidRPr="00F66967">
        <w:rPr>
          <w:rFonts w:asciiTheme="majorBidi" w:hAnsiTheme="majorBidi" w:cstheme="majorBidi"/>
          <w:b/>
          <w:bCs/>
          <w:sz w:val="28"/>
          <w:szCs w:val="28"/>
        </w:rPr>
        <w:t xml:space="preserve">, and </w:t>
      </w:r>
      <w:proofErr w:type="spellStart"/>
      <w:r w:rsidR="007422A1" w:rsidRPr="00F66967">
        <w:rPr>
          <w:rFonts w:asciiTheme="majorBidi" w:hAnsiTheme="majorBidi" w:cstheme="majorBidi"/>
          <w:b/>
          <w:bCs/>
          <w:sz w:val="28"/>
          <w:szCs w:val="28"/>
        </w:rPr>
        <w:t>ponatinib</w:t>
      </w:r>
      <w:proofErr w:type="spellEnd"/>
      <w:r w:rsidR="007422A1" w:rsidRPr="005736AE">
        <w:rPr>
          <w:rFonts w:asciiTheme="majorBidi" w:hAnsiTheme="majorBidi" w:cstheme="majorBidi"/>
          <w:sz w:val="28"/>
          <w:szCs w:val="28"/>
        </w:rPr>
        <w:t>) have been recently introduced with evidence of improved efficacy in adults</w:t>
      </w:r>
      <w:r w:rsidR="007422A1">
        <w:rPr>
          <w:rFonts w:asciiTheme="majorBidi" w:hAnsiTheme="majorBidi" w:cstheme="majorBidi"/>
          <w:b/>
          <w:bCs/>
          <w:i/>
          <w:iCs/>
          <w:sz w:val="28"/>
          <w:szCs w:val="28"/>
        </w:rPr>
        <w:t xml:space="preserve"> </w:t>
      </w:r>
      <w:r w:rsidR="007422A1" w:rsidRPr="007422A1">
        <w:rPr>
          <w:rFonts w:asciiTheme="majorBidi" w:hAnsiTheme="majorBidi" w:cstheme="majorBidi"/>
          <w:b/>
          <w:bCs/>
          <w:i/>
          <w:iCs/>
          <w:sz w:val="28"/>
          <w:szCs w:val="28"/>
        </w:rPr>
        <w:t>(Schultz et al., 2009).</w:t>
      </w:r>
    </w:p>
    <w:p w:rsidR="00565812" w:rsidRDefault="00565812" w:rsidP="00565812">
      <w:pPr>
        <w:pStyle w:val="ListParagraph"/>
        <w:bidi w:val="0"/>
        <w:spacing w:line="360" w:lineRule="auto"/>
        <w:ind w:left="0"/>
        <w:jc w:val="lowKashida"/>
        <w:rPr>
          <w:rFonts w:asciiTheme="majorBidi" w:hAnsiTheme="majorBidi" w:cstheme="majorBidi"/>
          <w:b/>
          <w:bCs/>
          <w:i/>
          <w:iCs/>
          <w:sz w:val="28"/>
          <w:szCs w:val="28"/>
        </w:rPr>
      </w:pPr>
      <w:r>
        <w:t xml:space="preserve">     </w:t>
      </w:r>
      <w:r w:rsidR="00B701F5">
        <w:rPr>
          <w:rFonts w:asciiTheme="majorBidi" w:hAnsiTheme="majorBidi" w:cstheme="majorBidi"/>
          <w:sz w:val="28"/>
          <w:szCs w:val="28"/>
        </w:rPr>
        <w:t xml:space="preserve">     </w:t>
      </w:r>
      <w:r w:rsidRPr="00565812">
        <w:rPr>
          <w:rFonts w:asciiTheme="majorBidi" w:hAnsiTheme="majorBidi" w:cstheme="majorBidi"/>
          <w:sz w:val="28"/>
          <w:szCs w:val="28"/>
        </w:rPr>
        <w:t xml:space="preserve">In cases with MLL rearrangement, the leukemic cells typically express high levels of FLT3, a tyrosine kinase oncogene; therefore, studies are </w:t>
      </w:r>
      <w:proofErr w:type="gramStart"/>
      <w:r>
        <w:rPr>
          <w:rFonts w:asciiTheme="majorBidi" w:hAnsiTheme="majorBidi" w:cstheme="majorBidi"/>
          <w:sz w:val="28"/>
          <w:szCs w:val="28"/>
        </w:rPr>
        <w:t xml:space="preserve">proceeding </w:t>
      </w:r>
      <w:r w:rsidRPr="00565812">
        <w:rPr>
          <w:rFonts w:asciiTheme="majorBidi" w:hAnsiTheme="majorBidi" w:cstheme="majorBidi"/>
          <w:sz w:val="28"/>
          <w:szCs w:val="28"/>
        </w:rPr>
        <w:t xml:space="preserve"> to</w:t>
      </w:r>
      <w:proofErr w:type="gramEnd"/>
      <w:r w:rsidRPr="00565812">
        <w:rPr>
          <w:rFonts w:asciiTheme="majorBidi" w:hAnsiTheme="majorBidi" w:cstheme="majorBidi"/>
          <w:sz w:val="28"/>
          <w:szCs w:val="28"/>
        </w:rPr>
        <w:t xml:space="preserve"> test the addition of a </w:t>
      </w:r>
      <w:r w:rsidRPr="00611BCD">
        <w:rPr>
          <w:rFonts w:asciiTheme="majorBidi" w:hAnsiTheme="majorBidi" w:cstheme="majorBidi"/>
          <w:sz w:val="28"/>
          <w:szCs w:val="28"/>
        </w:rPr>
        <w:t>FLT3 inhibitor</w:t>
      </w:r>
      <w:r w:rsidRPr="00565812">
        <w:rPr>
          <w:rFonts w:asciiTheme="majorBidi" w:hAnsiTheme="majorBidi" w:cstheme="majorBidi"/>
          <w:sz w:val="28"/>
          <w:szCs w:val="28"/>
        </w:rPr>
        <w:t xml:space="preserve"> to conventional chemotherapy regimens. </w:t>
      </w:r>
      <w:r>
        <w:rPr>
          <w:rFonts w:asciiTheme="majorBidi" w:hAnsiTheme="majorBidi" w:cstheme="majorBidi"/>
          <w:sz w:val="28"/>
          <w:szCs w:val="28"/>
        </w:rPr>
        <w:t>Also</w:t>
      </w:r>
      <w:r w:rsidRPr="00565812">
        <w:rPr>
          <w:rFonts w:asciiTheme="majorBidi" w:hAnsiTheme="majorBidi" w:cstheme="majorBidi"/>
          <w:sz w:val="28"/>
          <w:szCs w:val="28"/>
        </w:rPr>
        <w:t>, these patients have a high risk</w:t>
      </w:r>
      <w:r>
        <w:rPr>
          <w:rFonts w:asciiTheme="majorBidi" w:hAnsiTheme="majorBidi" w:cstheme="majorBidi"/>
          <w:sz w:val="28"/>
          <w:szCs w:val="28"/>
        </w:rPr>
        <w:t xml:space="preserve"> of treatment-related mortality,</w:t>
      </w:r>
      <w:r w:rsidRPr="00565812">
        <w:rPr>
          <w:rFonts w:asciiTheme="majorBidi" w:hAnsiTheme="majorBidi" w:cstheme="majorBidi"/>
          <w:sz w:val="28"/>
          <w:szCs w:val="28"/>
        </w:rPr>
        <w:t xml:space="preserve"> and thus induction often includes a 1-week prophase of single-agent steroid to “</w:t>
      </w:r>
      <w:proofErr w:type="spellStart"/>
      <w:r w:rsidRPr="00565812">
        <w:rPr>
          <w:rFonts w:asciiTheme="majorBidi" w:hAnsiTheme="majorBidi" w:cstheme="majorBidi"/>
          <w:sz w:val="28"/>
          <w:szCs w:val="28"/>
        </w:rPr>
        <w:t>debulk</w:t>
      </w:r>
      <w:proofErr w:type="spellEnd"/>
      <w:r w:rsidRPr="00565812">
        <w:rPr>
          <w:rFonts w:asciiTheme="majorBidi" w:hAnsiTheme="majorBidi" w:cstheme="majorBidi"/>
          <w:sz w:val="28"/>
          <w:szCs w:val="28"/>
        </w:rPr>
        <w:t>” the initial leukemic burden before initiation of multi-agent chemotherapy. Similar to MRD evaluation, response to this steroid prophase has been shown to correlate with risk of treatment failure</w:t>
      </w:r>
      <w:r>
        <w:rPr>
          <w:rFonts w:asciiTheme="majorBidi" w:hAnsiTheme="majorBidi" w:cstheme="majorBidi"/>
          <w:b/>
          <w:bCs/>
          <w:i/>
          <w:iCs/>
          <w:sz w:val="28"/>
          <w:szCs w:val="28"/>
        </w:rPr>
        <w:t xml:space="preserve"> </w:t>
      </w:r>
      <w:r w:rsidRPr="00565812">
        <w:rPr>
          <w:rFonts w:asciiTheme="majorBidi" w:hAnsiTheme="majorBidi" w:cstheme="majorBidi"/>
          <w:b/>
          <w:bCs/>
          <w:i/>
          <w:iCs/>
          <w:sz w:val="28"/>
          <w:szCs w:val="28"/>
        </w:rPr>
        <w:t>(</w:t>
      </w:r>
      <w:proofErr w:type="spellStart"/>
      <w:r w:rsidRPr="00565812">
        <w:rPr>
          <w:rFonts w:asciiTheme="majorBidi" w:hAnsiTheme="majorBidi" w:cstheme="majorBidi"/>
          <w:b/>
          <w:bCs/>
          <w:i/>
          <w:iCs/>
          <w:sz w:val="28"/>
          <w:szCs w:val="28"/>
        </w:rPr>
        <w:t>Pieters</w:t>
      </w:r>
      <w:proofErr w:type="spellEnd"/>
      <w:r w:rsidRPr="00565812">
        <w:rPr>
          <w:rFonts w:asciiTheme="majorBidi" w:hAnsiTheme="majorBidi" w:cstheme="majorBidi"/>
          <w:b/>
          <w:bCs/>
          <w:i/>
          <w:iCs/>
          <w:sz w:val="28"/>
          <w:szCs w:val="28"/>
        </w:rPr>
        <w:t xml:space="preserve"> et al., 2007).</w:t>
      </w:r>
    </w:p>
    <w:p w:rsidR="00565812" w:rsidRPr="006D7023" w:rsidRDefault="00565812" w:rsidP="006D7023">
      <w:pPr>
        <w:pStyle w:val="ListParagraph"/>
        <w:bidi w:val="0"/>
        <w:spacing w:line="360" w:lineRule="auto"/>
        <w:ind w:left="0"/>
        <w:jc w:val="lowKashida"/>
        <w:rPr>
          <w:rFonts w:asciiTheme="majorBidi" w:hAnsiTheme="majorBidi" w:cstheme="majorBidi"/>
          <w:sz w:val="28"/>
          <w:szCs w:val="28"/>
        </w:rPr>
      </w:pPr>
      <w:r>
        <w:t xml:space="preserve">   </w:t>
      </w:r>
      <w:r w:rsidRPr="00565812">
        <w:rPr>
          <w:rFonts w:asciiTheme="majorBidi" w:hAnsiTheme="majorBidi" w:cstheme="majorBidi"/>
          <w:sz w:val="28"/>
          <w:szCs w:val="28"/>
        </w:rPr>
        <w:t xml:space="preserve"> </w:t>
      </w:r>
      <w:r w:rsidR="00B701F5">
        <w:rPr>
          <w:rFonts w:asciiTheme="majorBidi" w:hAnsiTheme="majorBidi" w:cstheme="majorBidi"/>
          <w:sz w:val="28"/>
          <w:szCs w:val="28"/>
        </w:rPr>
        <w:t xml:space="preserve">    </w:t>
      </w:r>
      <w:r w:rsidRPr="00565812">
        <w:rPr>
          <w:rFonts w:asciiTheme="majorBidi" w:hAnsiTheme="majorBidi" w:cstheme="majorBidi"/>
          <w:sz w:val="28"/>
          <w:szCs w:val="28"/>
        </w:rPr>
        <w:t xml:space="preserve">Patients with T-cell ALL </w:t>
      </w:r>
      <w:r>
        <w:rPr>
          <w:rFonts w:asciiTheme="majorBidi" w:hAnsiTheme="majorBidi" w:cstheme="majorBidi"/>
          <w:sz w:val="28"/>
          <w:szCs w:val="28"/>
        </w:rPr>
        <w:t>nearly represents</w:t>
      </w:r>
      <w:r w:rsidRPr="00565812">
        <w:rPr>
          <w:rFonts w:asciiTheme="majorBidi" w:hAnsiTheme="majorBidi" w:cstheme="majorBidi"/>
          <w:sz w:val="28"/>
          <w:szCs w:val="28"/>
        </w:rPr>
        <w:t xml:space="preserve"> 10% of pediatric ALL </w:t>
      </w:r>
      <w:r w:rsidR="00183C93">
        <w:rPr>
          <w:rFonts w:asciiTheme="majorBidi" w:hAnsiTheme="majorBidi" w:cstheme="majorBidi"/>
          <w:sz w:val="28"/>
          <w:szCs w:val="28"/>
        </w:rPr>
        <w:t xml:space="preserve">.In </w:t>
      </w:r>
      <w:r w:rsidRPr="00565812">
        <w:rPr>
          <w:rFonts w:asciiTheme="majorBidi" w:hAnsiTheme="majorBidi" w:cstheme="majorBidi"/>
          <w:sz w:val="28"/>
          <w:szCs w:val="28"/>
        </w:rPr>
        <w:t>compar</w:t>
      </w:r>
      <w:r w:rsidR="00183C93">
        <w:rPr>
          <w:rFonts w:asciiTheme="majorBidi" w:hAnsiTheme="majorBidi" w:cstheme="majorBidi"/>
          <w:sz w:val="28"/>
          <w:szCs w:val="28"/>
        </w:rPr>
        <w:t>ison</w:t>
      </w:r>
      <w:r w:rsidRPr="00565812">
        <w:rPr>
          <w:rFonts w:asciiTheme="majorBidi" w:hAnsiTheme="majorBidi" w:cstheme="majorBidi"/>
          <w:sz w:val="28"/>
          <w:szCs w:val="28"/>
        </w:rPr>
        <w:t xml:space="preserve"> with those with </w:t>
      </w:r>
      <w:proofErr w:type="spellStart"/>
      <w:r w:rsidRPr="00565812">
        <w:rPr>
          <w:rFonts w:asciiTheme="majorBidi" w:hAnsiTheme="majorBidi" w:cstheme="majorBidi"/>
          <w:sz w:val="28"/>
          <w:szCs w:val="28"/>
        </w:rPr>
        <w:t>Bp</w:t>
      </w:r>
      <w:proofErr w:type="spellEnd"/>
      <w:r w:rsidRPr="00565812">
        <w:rPr>
          <w:rFonts w:asciiTheme="majorBidi" w:hAnsiTheme="majorBidi" w:cstheme="majorBidi"/>
          <w:sz w:val="28"/>
          <w:szCs w:val="28"/>
        </w:rPr>
        <w:t>-ALL,</w:t>
      </w:r>
      <w:r w:rsidR="00183C93" w:rsidRPr="00183C93">
        <w:rPr>
          <w:rFonts w:asciiTheme="majorBidi" w:hAnsiTheme="majorBidi" w:cstheme="majorBidi"/>
          <w:sz w:val="28"/>
          <w:szCs w:val="28"/>
        </w:rPr>
        <w:t xml:space="preserve"> </w:t>
      </w:r>
      <w:r w:rsidR="00183C93" w:rsidRPr="00565812">
        <w:rPr>
          <w:rFonts w:asciiTheme="majorBidi" w:hAnsiTheme="majorBidi" w:cstheme="majorBidi"/>
          <w:sz w:val="28"/>
          <w:szCs w:val="28"/>
        </w:rPr>
        <w:t xml:space="preserve">T-ALL patients continue to </w:t>
      </w:r>
      <w:r w:rsidR="00183C93" w:rsidRPr="00565812">
        <w:rPr>
          <w:rFonts w:asciiTheme="majorBidi" w:hAnsiTheme="majorBidi" w:cstheme="majorBidi"/>
          <w:sz w:val="28"/>
          <w:szCs w:val="28"/>
        </w:rPr>
        <w:lastRenderedPageBreak/>
        <w:t>experience a lower risk of survival after relapse</w:t>
      </w:r>
      <w:r w:rsidRPr="00565812">
        <w:rPr>
          <w:rFonts w:asciiTheme="majorBidi" w:hAnsiTheme="majorBidi" w:cstheme="majorBidi"/>
          <w:sz w:val="28"/>
          <w:szCs w:val="28"/>
        </w:rPr>
        <w:t>. With more aggressive modern regimens, many patients with T-ALL have surv</w:t>
      </w:r>
      <w:r w:rsidR="00183C93">
        <w:rPr>
          <w:rFonts w:asciiTheme="majorBidi" w:hAnsiTheme="majorBidi" w:cstheme="majorBidi"/>
          <w:sz w:val="28"/>
          <w:szCs w:val="28"/>
        </w:rPr>
        <w:t xml:space="preserve">ival approaching that of </w:t>
      </w:r>
      <w:proofErr w:type="spellStart"/>
      <w:r w:rsidR="00183C93">
        <w:rPr>
          <w:rFonts w:asciiTheme="majorBidi" w:hAnsiTheme="majorBidi" w:cstheme="majorBidi"/>
          <w:sz w:val="28"/>
          <w:szCs w:val="28"/>
        </w:rPr>
        <w:t>Bp</w:t>
      </w:r>
      <w:proofErr w:type="spellEnd"/>
      <w:r w:rsidR="00183C93">
        <w:rPr>
          <w:rFonts w:asciiTheme="majorBidi" w:hAnsiTheme="majorBidi" w:cstheme="majorBidi"/>
          <w:sz w:val="28"/>
          <w:szCs w:val="28"/>
        </w:rPr>
        <w:t>-ALL</w:t>
      </w:r>
      <w:r w:rsidRPr="00565812">
        <w:rPr>
          <w:rFonts w:asciiTheme="majorBidi" w:hAnsiTheme="majorBidi" w:cstheme="majorBidi"/>
          <w:sz w:val="28"/>
          <w:szCs w:val="28"/>
        </w:rPr>
        <w:t xml:space="preserve">. Studies are currently ongoing regarding the addition of </w:t>
      </w:r>
      <w:proofErr w:type="spellStart"/>
      <w:r w:rsidRPr="00565812">
        <w:rPr>
          <w:rFonts w:asciiTheme="majorBidi" w:hAnsiTheme="majorBidi" w:cstheme="majorBidi"/>
          <w:sz w:val="28"/>
          <w:szCs w:val="28"/>
        </w:rPr>
        <w:t>nelarabine</w:t>
      </w:r>
      <w:proofErr w:type="spellEnd"/>
      <w:r w:rsidRPr="00565812">
        <w:rPr>
          <w:rFonts w:asciiTheme="majorBidi" w:hAnsiTheme="majorBidi" w:cstheme="majorBidi"/>
          <w:sz w:val="28"/>
          <w:szCs w:val="28"/>
        </w:rPr>
        <w:t>, a purine nucleoside analogue that appears to be particularly cytotoxic to T cells, with promising results in the relapsed setting</w:t>
      </w:r>
      <w:r w:rsidR="00183C93">
        <w:rPr>
          <w:rFonts w:asciiTheme="majorBidi" w:hAnsiTheme="majorBidi" w:cstheme="majorBidi"/>
          <w:sz w:val="28"/>
          <w:szCs w:val="28"/>
        </w:rPr>
        <w:t xml:space="preserve"> </w:t>
      </w:r>
      <w:r w:rsidR="00183C93" w:rsidRPr="00183C93">
        <w:rPr>
          <w:rFonts w:asciiTheme="majorBidi" w:hAnsiTheme="majorBidi" w:cstheme="majorBidi"/>
          <w:b/>
          <w:bCs/>
          <w:i/>
          <w:iCs/>
          <w:sz w:val="28"/>
          <w:szCs w:val="28"/>
        </w:rPr>
        <w:t>(Berg et al. 2005).</w:t>
      </w:r>
    </w:p>
    <w:p w:rsidR="00617BDE" w:rsidRDefault="00617BDE" w:rsidP="00617BDE">
      <w:pPr>
        <w:pStyle w:val="ListParagraph"/>
        <w:bidi w:val="0"/>
        <w:spacing w:line="360" w:lineRule="auto"/>
        <w:ind w:left="0"/>
        <w:jc w:val="lowKashida"/>
      </w:pPr>
    </w:p>
    <w:p w:rsidR="00617BDE" w:rsidRDefault="00617BDE" w:rsidP="00BD3C99">
      <w:pPr>
        <w:pStyle w:val="ListParagraph"/>
        <w:bidi w:val="0"/>
        <w:spacing w:line="360" w:lineRule="auto"/>
        <w:ind w:left="0"/>
        <w:jc w:val="lowKashida"/>
        <w:rPr>
          <w:rFonts w:asciiTheme="majorBidi" w:hAnsiTheme="majorBidi" w:cstheme="majorBidi"/>
          <w:b/>
          <w:bCs/>
          <w:i/>
          <w:iCs/>
          <w:sz w:val="28"/>
          <w:szCs w:val="28"/>
        </w:rPr>
      </w:pPr>
      <w:r>
        <w:t xml:space="preserve">      </w:t>
      </w:r>
      <w:r w:rsidRPr="00617BDE">
        <w:rPr>
          <w:rFonts w:asciiTheme="majorBidi" w:hAnsiTheme="majorBidi" w:cstheme="majorBidi"/>
          <w:sz w:val="28"/>
          <w:szCs w:val="28"/>
        </w:rPr>
        <w:t xml:space="preserve">The </w:t>
      </w:r>
      <w:r>
        <w:rPr>
          <w:rFonts w:asciiTheme="majorBidi" w:hAnsiTheme="majorBidi" w:cstheme="majorBidi"/>
          <w:sz w:val="28"/>
          <w:szCs w:val="28"/>
        </w:rPr>
        <w:t xml:space="preserve">use </w:t>
      </w:r>
      <w:r w:rsidRPr="00617BDE">
        <w:rPr>
          <w:rFonts w:asciiTheme="majorBidi" w:hAnsiTheme="majorBidi" w:cstheme="majorBidi"/>
          <w:sz w:val="28"/>
          <w:szCs w:val="28"/>
        </w:rPr>
        <w:t xml:space="preserve">of allogeneic hematopoietic stem cell transplant (HSCT) in first remission of ALL is a controversial topic. </w:t>
      </w:r>
      <w:r>
        <w:rPr>
          <w:rFonts w:asciiTheme="majorBidi" w:hAnsiTheme="majorBidi" w:cstheme="majorBidi"/>
          <w:sz w:val="28"/>
          <w:szCs w:val="28"/>
        </w:rPr>
        <w:t xml:space="preserve">In </w:t>
      </w:r>
      <w:proofErr w:type="gramStart"/>
      <w:r>
        <w:rPr>
          <w:rFonts w:asciiTheme="majorBidi" w:hAnsiTheme="majorBidi" w:cstheme="majorBidi"/>
          <w:sz w:val="28"/>
          <w:szCs w:val="28"/>
        </w:rPr>
        <w:t xml:space="preserve">general </w:t>
      </w:r>
      <w:r w:rsidRPr="00617BDE">
        <w:rPr>
          <w:rFonts w:asciiTheme="majorBidi" w:hAnsiTheme="majorBidi" w:cstheme="majorBidi"/>
          <w:sz w:val="28"/>
          <w:szCs w:val="28"/>
        </w:rPr>
        <w:t>,</w:t>
      </w:r>
      <w:proofErr w:type="gramEnd"/>
      <w:r w:rsidRPr="00617BDE">
        <w:rPr>
          <w:rFonts w:asciiTheme="majorBidi" w:hAnsiTheme="majorBidi" w:cstheme="majorBidi"/>
          <w:sz w:val="28"/>
          <w:szCs w:val="28"/>
        </w:rPr>
        <w:t xml:space="preserve"> HSCT is considered for those patients with the very highest risk of relapse and/or treatment failure, which has been most closely associated with those patients demonstrating </w:t>
      </w:r>
      <w:proofErr w:type="spellStart"/>
      <w:r w:rsidRPr="00617BDE">
        <w:rPr>
          <w:rFonts w:asciiTheme="majorBidi" w:hAnsiTheme="majorBidi" w:cstheme="majorBidi"/>
          <w:sz w:val="28"/>
          <w:szCs w:val="28"/>
        </w:rPr>
        <w:t>hypodiploidy</w:t>
      </w:r>
      <w:proofErr w:type="spellEnd"/>
      <w:r w:rsidRPr="00617BDE">
        <w:rPr>
          <w:rFonts w:asciiTheme="majorBidi" w:hAnsiTheme="majorBidi" w:cstheme="majorBidi"/>
          <w:sz w:val="28"/>
          <w:szCs w:val="28"/>
        </w:rPr>
        <w:t xml:space="preserve"> or induction failure. </w:t>
      </w:r>
      <w:r w:rsidR="006D7023" w:rsidRPr="00157965">
        <w:rPr>
          <w:rFonts w:asciiTheme="majorBidi" w:hAnsiTheme="majorBidi" w:cstheme="majorBidi"/>
          <w:sz w:val="28"/>
          <w:szCs w:val="28"/>
        </w:rPr>
        <w:t xml:space="preserve">T-cell </w:t>
      </w:r>
      <w:proofErr w:type="spellStart"/>
      <w:r w:rsidR="006D7023" w:rsidRPr="00157965">
        <w:rPr>
          <w:rFonts w:asciiTheme="majorBidi" w:hAnsiTheme="majorBidi" w:cstheme="majorBidi"/>
          <w:sz w:val="28"/>
          <w:szCs w:val="28"/>
        </w:rPr>
        <w:t>immunophenotype</w:t>
      </w:r>
      <w:proofErr w:type="spellEnd"/>
      <w:r w:rsidR="006D7023" w:rsidRPr="00157965">
        <w:rPr>
          <w:rFonts w:asciiTheme="majorBidi" w:hAnsiTheme="majorBidi" w:cstheme="majorBidi"/>
          <w:sz w:val="28"/>
          <w:szCs w:val="28"/>
        </w:rPr>
        <w:t>, prognosis is worse, and HSCT is often pursued</w:t>
      </w:r>
      <w:r w:rsidR="006D7023">
        <w:rPr>
          <w:rFonts w:asciiTheme="majorBidi" w:hAnsiTheme="majorBidi" w:cstheme="majorBidi"/>
          <w:sz w:val="28"/>
          <w:szCs w:val="28"/>
        </w:rPr>
        <w:t xml:space="preserve">. </w:t>
      </w:r>
      <w:r w:rsidR="00BD3C99" w:rsidRPr="00BD3C99">
        <w:rPr>
          <w:rFonts w:asciiTheme="majorBidi" w:hAnsiTheme="majorBidi" w:cstheme="majorBidi"/>
          <w:sz w:val="28"/>
          <w:szCs w:val="28"/>
        </w:rPr>
        <w:t xml:space="preserve">With intensive therapy that may include HSCT, overall survival from relapsed ALL is </w:t>
      </w:r>
      <w:proofErr w:type="gramStart"/>
      <w:r w:rsidR="00BD3C99">
        <w:rPr>
          <w:rFonts w:asciiTheme="majorBidi" w:hAnsiTheme="majorBidi" w:cstheme="majorBidi"/>
          <w:sz w:val="28"/>
          <w:szCs w:val="28"/>
        </w:rPr>
        <w:t xml:space="preserve">almost </w:t>
      </w:r>
      <w:r w:rsidR="00BD3C99" w:rsidRPr="00BD3C99">
        <w:rPr>
          <w:rFonts w:asciiTheme="majorBidi" w:hAnsiTheme="majorBidi" w:cstheme="majorBidi"/>
          <w:sz w:val="28"/>
          <w:szCs w:val="28"/>
        </w:rPr>
        <w:t xml:space="preserve"> 40</w:t>
      </w:r>
      <w:proofErr w:type="gramEnd"/>
      <w:r w:rsidR="00BD3C99" w:rsidRPr="00BD3C99">
        <w:rPr>
          <w:rFonts w:asciiTheme="majorBidi" w:hAnsiTheme="majorBidi" w:cstheme="majorBidi"/>
          <w:sz w:val="28"/>
          <w:szCs w:val="28"/>
        </w:rPr>
        <w:t>%37.</w:t>
      </w:r>
      <w:r w:rsidRPr="00617BDE">
        <w:rPr>
          <w:rFonts w:asciiTheme="majorBidi" w:hAnsiTheme="majorBidi" w:cstheme="majorBidi"/>
          <w:sz w:val="28"/>
          <w:szCs w:val="28"/>
        </w:rPr>
        <w:t>The optimal donor has historically been a matched sibling, although advances with alternative donor sources are</w:t>
      </w:r>
      <w:r>
        <w:rPr>
          <w:rFonts w:asciiTheme="majorBidi" w:hAnsiTheme="majorBidi" w:cstheme="majorBidi"/>
          <w:sz w:val="28"/>
          <w:szCs w:val="28"/>
        </w:rPr>
        <w:t xml:space="preserve"> now also showing promise </w:t>
      </w:r>
      <w:r w:rsidRPr="00617BDE">
        <w:rPr>
          <w:rFonts w:asciiTheme="majorBidi" w:hAnsiTheme="majorBidi" w:cstheme="majorBidi"/>
          <w:b/>
          <w:bCs/>
          <w:i/>
          <w:iCs/>
          <w:sz w:val="28"/>
          <w:szCs w:val="28"/>
        </w:rPr>
        <w:t>(Hochberg et al.,</w:t>
      </w:r>
      <w:r>
        <w:rPr>
          <w:rFonts w:asciiTheme="majorBidi" w:hAnsiTheme="majorBidi" w:cstheme="majorBidi"/>
          <w:b/>
          <w:bCs/>
          <w:i/>
          <w:iCs/>
          <w:sz w:val="28"/>
          <w:szCs w:val="28"/>
        </w:rPr>
        <w:t xml:space="preserve"> </w:t>
      </w:r>
      <w:r w:rsidRPr="00617BDE">
        <w:rPr>
          <w:rFonts w:asciiTheme="majorBidi" w:hAnsiTheme="majorBidi" w:cstheme="majorBidi"/>
          <w:b/>
          <w:bCs/>
          <w:i/>
          <w:iCs/>
          <w:sz w:val="28"/>
          <w:szCs w:val="28"/>
        </w:rPr>
        <w:t>2013).</w:t>
      </w:r>
    </w:p>
    <w:p w:rsidR="00617BDE" w:rsidRDefault="00B701F5" w:rsidP="00B701F5">
      <w:pPr>
        <w:pStyle w:val="ListParagraph"/>
        <w:bidi w:val="0"/>
        <w:spacing w:line="360" w:lineRule="auto"/>
        <w:ind w:left="0"/>
        <w:jc w:val="lowKashida"/>
        <w:rPr>
          <w:rFonts w:asciiTheme="majorBidi" w:hAnsiTheme="majorBidi" w:cstheme="majorBidi"/>
          <w:b/>
          <w:bCs/>
          <w:sz w:val="28"/>
          <w:szCs w:val="28"/>
        </w:rPr>
      </w:pPr>
      <w:r>
        <w:rPr>
          <w:rFonts w:asciiTheme="majorBidi" w:hAnsiTheme="majorBidi" w:cstheme="majorBidi"/>
          <w:b/>
          <w:bCs/>
          <w:sz w:val="28"/>
          <w:szCs w:val="28"/>
        </w:rPr>
        <w:t>3-</w:t>
      </w:r>
      <w:r w:rsidR="00617BDE" w:rsidRPr="00B701F5">
        <w:rPr>
          <w:rFonts w:asciiTheme="majorBidi" w:hAnsiTheme="majorBidi" w:cstheme="majorBidi"/>
          <w:b/>
          <w:bCs/>
          <w:sz w:val="28"/>
          <w:szCs w:val="28"/>
        </w:rPr>
        <w:t xml:space="preserve">Treatment </w:t>
      </w:r>
      <w:proofErr w:type="gramStart"/>
      <w:r w:rsidR="00617BDE" w:rsidRPr="00B701F5">
        <w:rPr>
          <w:rFonts w:asciiTheme="majorBidi" w:hAnsiTheme="majorBidi" w:cstheme="majorBidi"/>
          <w:b/>
          <w:bCs/>
          <w:sz w:val="28"/>
          <w:szCs w:val="28"/>
        </w:rPr>
        <w:t>of  relapsed</w:t>
      </w:r>
      <w:proofErr w:type="gramEnd"/>
      <w:r w:rsidR="00617BDE" w:rsidRPr="00B701F5">
        <w:rPr>
          <w:rFonts w:asciiTheme="majorBidi" w:hAnsiTheme="majorBidi" w:cstheme="majorBidi"/>
          <w:b/>
          <w:bCs/>
          <w:sz w:val="28"/>
          <w:szCs w:val="28"/>
        </w:rPr>
        <w:t xml:space="preserve"> </w:t>
      </w:r>
      <w:r>
        <w:rPr>
          <w:rFonts w:asciiTheme="majorBidi" w:hAnsiTheme="majorBidi" w:cstheme="majorBidi"/>
          <w:b/>
          <w:bCs/>
          <w:sz w:val="28"/>
          <w:szCs w:val="28"/>
        </w:rPr>
        <w:t>ALL</w:t>
      </w:r>
      <w:r w:rsidRPr="00B701F5">
        <w:rPr>
          <w:rFonts w:asciiTheme="majorBidi" w:hAnsiTheme="majorBidi" w:cstheme="majorBidi"/>
          <w:b/>
          <w:bCs/>
          <w:sz w:val="28"/>
          <w:szCs w:val="28"/>
        </w:rPr>
        <w:t>:</w:t>
      </w:r>
    </w:p>
    <w:p w:rsidR="00BD3C99" w:rsidRPr="00BD3C99" w:rsidRDefault="00BD3C99" w:rsidP="00BD3C99">
      <w:pPr>
        <w:pStyle w:val="ListParagraph"/>
        <w:bidi w:val="0"/>
        <w:spacing w:line="360" w:lineRule="auto"/>
        <w:ind w:left="0"/>
        <w:jc w:val="lowKashida"/>
        <w:rPr>
          <w:rFonts w:asciiTheme="majorBidi" w:hAnsiTheme="majorBidi" w:cstheme="majorBidi"/>
          <w:b/>
          <w:bCs/>
          <w:i/>
          <w:iCs/>
          <w:sz w:val="28"/>
          <w:szCs w:val="28"/>
        </w:rPr>
      </w:pPr>
      <w:r>
        <w:t xml:space="preserve">     </w:t>
      </w:r>
      <w:r w:rsidRPr="00BD3C99">
        <w:rPr>
          <w:rFonts w:asciiTheme="majorBidi" w:hAnsiTheme="majorBidi" w:cstheme="majorBidi"/>
          <w:sz w:val="28"/>
          <w:szCs w:val="28"/>
        </w:rPr>
        <w:t xml:space="preserve">In spite of significant advances in treatment, </w:t>
      </w:r>
      <w:proofErr w:type="gramStart"/>
      <w:r w:rsidRPr="00BD3C99">
        <w:rPr>
          <w:rFonts w:asciiTheme="majorBidi" w:hAnsiTheme="majorBidi" w:cstheme="majorBidi"/>
          <w:sz w:val="28"/>
          <w:szCs w:val="28"/>
        </w:rPr>
        <w:t>nearly  15</w:t>
      </w:r>
      <w:proofErr w:type="gramEnd"/>
      <w:r w:rsidRPr="00BD3C99">
        <w:rPr>
          <w:rFonts w:asciiTheme="majorBidi" w:hAnsiTheme="majorBidi" w:cstheme="majorBidi"/>
          <w:sz w:val="28"/>
          <w:szCs w:val="28"/>
        </w:rPr>
        <w:t xml:space="preserve">% to 20% of patients with ALL will suffer relapsed disease. Length of first complete remission (CR1) and site of relapse have consistently been demonstrated to be the 2 most important prognostic factors in these cases. For patients with </w:t>
      </w:r>
      <w:proofErr w:type="spellStart"/>
      <w:r w:rsidRPr="00BD3C99">
        <w:rPr>
          <w:rFonts w:asciiTheme="majorBidi" w:hAnsiTheme="majorBidi" w:cstheme="majorBidi"/>
          <w:sz w:val="28"/>
          <w:szCs w:val="28"/>
        </w:rPr>
        <w:t>Bp</w:t>
      </w:r>
      <w:proofErr w:type="spellEnd"/>
      <w:r w:rsidRPr="00BD3C99">
        <w:rPr>
          <w:rFonts w:asciiTheme="majorBidi" w:hAnsiTheme="majorBidi" w:cstheme="majorBidi"/>
          <w:sz w:val="28"/>
          <w:szCs w:val="28"/>
        </w:rPr>
        <w:t xml:space="preserve">-ALL, relapses within 18 months of diagnosis fare the worst, those occurring between 18 and 36 months after diagnosis have an intermediate prognosis, and late relapses that occur more than 3 years from diagnosis have the best prognosis, with </w:t>
      </w:r>
      <w:r>
        <w:rPr>
          <w:rFonts w:asciiTheme="majorBidi" w:hAnsiTheme="majorBidi" w:cstheme="majorBidi"/>
          <w:sz w:val="28"/>
          <w:szCs w:val="28"/>
        </w:rPr>
        <w:t xml:space="preserve">up to a 50% event-free survival </w:t>
      </w:r>
      <w:r w:rsidRPr="00BD3C99">
        <w:rPr>
          <w:rFonts w:asciiTheme="majorBidi" w:hAnsiTheme="majorBidi" w:cstheme="majorBidi"/>
          <w:b/>
          <w:bCs/>
          <w:i/>
          <w:iCs/>
          <w:sz w:val="28"/>
          <w:szCs w:val="28"/>
        </w:rPr>
        <w:t>(</w:t>
      </w:r>
      <w:proofErr w:type="spellStart"/>
      <w:r w:rsidRPr="00BD3C99">
        <w:rPr>
          <w:rFonts w:asciiTheme="majorBidi" w:hAnsiTheme="majorBidi" w:cstheme="majorBidi"/>
          <w:b/>
          <w:bCs/>
          <w:i/>
          <w:iCs/>
          <w:sz w:val="28"/>
          <w:szCs w:val="28"/>
        </w:rPr>
        <w:t>Chessells</w:t>
      </w:r>
      <w:proofErr w:type="spellEnd"/>
      <w:r w:rsidRPr="00BD3C99">
        <w:rPr>
          <w:rFonts w:asciiTheme="majorBidi" w:hAnsiTheme="majorBidi" w:cstheme="majorBidi"/>
          <w:b/>
          <w:bCs/>
          <w:i/>
          <w:iCs/>
          <w:sz w:val="28"/>
          <w:szCs w:val="28"/>
        </w:rPr>
        <w:t>, 1998).</w:t>
      </w:r>
    </w:p>
    <w:p w:rsidR="00B701F5" w:rsidRDefault="00BD3C99" w:rsidP="00157965">
      <w:pPr>
        <w:pStyle w:val="ListParagraph"/>
        <w:bidi w:val="0"/>
        <w:spacing w:line="360" w:lineRule="auto"/>
        <w:ind w:left="0"/>
        <w:jc w:val="lowKashida"/>
        <w:rPr>
          <w:rFonts w:asciiTheme="majorBidi" w:hAnsiTheme="majorBidi" w:cstheme="majorBidi"/>
          <w:b/>
          <w:bCs/>
          <w:i/>
          <w:iCs/>
          <w:sz w:val="28"/>
          <w:szCs w:val="28"/>
        </w:rPr>
      </w:pPr>
      <w:r w:rsidRPr="00BD3C99">
        <w:rPr>
          <w:rFonts w:asciiTheme="majorBidi" w:hAnsiTheme="majorBidi" w:cstheme="majorBidi"/>
          <w:sz w:val="28"/>
          <w:szCs w:val="28"/>
        </w:rPr>
        <w:t xml:space="preserve">     Reinduction chemotherapy after first relapse is successful at inducing complete remission in 65% to 85%. The chemotherapy regimens used </w:t>
      </w:r>
      <w:r w:rsidRPr="00BD3C99">
        <w:rPr>
          <w:rFonts w:asciiTheme="majorBidi" w:hAnsiTheme="majorBidi" w:cstheme="majorBidi"/>
          <w:sz w:val="28"/>
          <w:szCs w:val="28"/>
        </w:rPr>
        <w:lastRenderedPageBreak/>
        <w:t xml:space="preserve">vary by institution and protocol, but is often the same 4-drug induction used at initial diagnosis, consisting of vincristine, steroids, </w:t>
      </w:r>
      <w:proofErr w:type="spellStart"/>
      <w:r w:rsidRPr="00BD3C99">
        <w:rPr>
          <w:rFonts w:asciiTheme="majorBidi" w:hAnsiTheme="majorBidi" w:cstheme="majorBidi"/>
          <w:sz w:val="28"/>
          <w:szCs w:val="28"/>
        </w:rPr>
        <w:t>asparaginase</w:t>
      </w:r>
      <w:proofErr w:type="spellEnd"/>
      <w:r w:rsidRPr="00BD3C99">
        <w:rPr>
          <w:rFonts w:asciiTheme="majorBidi" w:hAnsiTheme="majorBidi" w:cstheme="majorBidi"/>
          <w:sz w:val="28"/>
          <w:szCs w:val="28"/>
        </w:rPr>
        <w:t xml:space="preserve">, and an anthracycline. Clinical trials are </w:t>
      </w:r>
      <w:proofErr w:type="gramStart"/>
      <w:r w:rsidR="00157965">
        <w:rPr>
          <w:rFonts w:asciiTheme="majorBidi" w:hAnsiTheme="majorBidi" w:cstheme="majorBidi"/>
          <w:sz w:val="28"/>
          <w:szCs w:val="28"/>
        </w:rPr>
        <w:t xml:space="preserve">proceeding </w:t>
      </w:r>
      <w:r w:rsidRPr="00BD3C99">
        <w:rPr>
          <w:rFonts w:asciiTheme="majorBidi" w:hAnsiTheme="majorBidi" w:cstheme="majorBidi"/>
          <w:sz w:val="28"/>
          <w:szCs w:val="28"/>
        </w:rPr>
        <w:t xml:space="preserve"> to</w:t>
      </w:r>
      <w:proofErr w:type="gramEnd"/>
      <w:r w:rsidRPr="00BD3C99">
        <w:rPr>
          <w:rFonts w:asciiTheme="majorBidi" w:hAnsiTheme="majorBidi" w:cstheme="majorBidi"/>
          <w:sz w:val="28"/>
          <w:szCs w:val="28"/>
        </w:rPr>
        <w:t xml:space="preserve"> evaluate the addition of novel agents for </w:t>
      </w:r>
      <w:proofErr w:type="spellStart"/>
      <w:r w:rsidRPr="00BD3C99">
        <w:rPr>
          <w:rFonts w:asciiTheme="majorBidi" w:hAnsiTheme="majorBidi" w:cstheme="majorBidi"/>
          <w:sz w:val="28"/>
          <w:szCs w:val="28"/>
        </w:rPr>
        <w:t>reinduction</w:t>
      </w:r>
      <w:proofErr w:type="spellEnd"/>
      <w:r w:rsidRPr="00BD3C99">
        <w:rPr>
          <w:rFonts w:asciiTheme="majorBidi" w:hAnsiTheme="majorBidi" w:cstheme="majorBidi"/>
          <w:sz w:val="28"/>
          <w:szCs w:val="28"/>
        </w:rPr>
        <w:t xml:space="preserve"> chemotherapy. Once a second complete remission (CR2) has been obtained, </w:t>
      </w:r>
      <w:proofErr w:type="spellStart"/>
      <w:r w:rsidRPr="00BD3C99">
        <w:rPr>
          <w:rFonts w:asciiTheme="majorBidi" w:hAnsiTheme="majorBidi" w:cstheme="majorBidi"/>
          <w:sz w:val="28"/>
          <w:szCs w:val="28"/>
        </w:rPr>
        <w:t>postremission</w:t>
      </w:r>
      <w:proofErr w:type="spellEnd"/>
      <w:r w:rsidRPr="00BD3C99">
        <w:rPr>
          <w:rFonts w:asciiTheme="majorBidi" w:hAnsiTheme="majorBidi" w:cstheme="majorBidi"/>
          <w:sz w:val="28"/>
          <w:szCs w:val="28"/>
        </w:rPr>
        <w:t xml:space="preserve"> treatment varies by risk</w:t>
      </w:r>
      <w:r>
        <w:rPr>
          <w:rFonts w:asciiTheme="majorBidi" w:hAnsiTheme="majorBidi" w:cstheme="majorBidi"/>
          <w:sz w:val="28"/>
          <w:szCs w:val="28"/>
        </w:rPr>
        <w:t xml:space="preserve"> </w:t>
      </w:r>
      <w:proofErr w:type="gramStart"/>
      <w:r w:rsidRPr="00BD3C99">
        <w:rPr>
          <w:rFonts w:asciiTheme="majorBidi" w:hAnsiTheme="majorBidi" w:cstheme="majorBidi"/>
          <w:b/>
          <w:bCs/>
          <w:i/>
          <w:iCs/>
          <w:sz w:val="28"/>
          <w:szCs w:val="28"/>
        </w:rPr>
        <w:t>( Parker</w:t>
      </w:r>
      <w:proofErr w:type="gramEnd"/>
      <w:r w:rsidRPr="00BD3C99">
        <w:rPr>
          <w:rFonts w:asciiTheme="majorBidi" w:hAnsiTheme="majorBidi" w:cstheme="majorBidi"/>
          <w:b/>
          <w:bCs/>
          <w:i/>
          <w:iCs/>
          <w:sz w:val="28"/>
          <w:szCs w:val="28"/>
        </w:rPr>
        <w:t xml:space="preserve"> et al. 2009).</w:t>
      </w:r>
    </w:p>
    <w:p w:rsidR="00157965" w:rsidRDefault="00157965" w:rsidP="006D7023">
      <w:pPr>
        <w:pStyle w:val="ListParagraph"/>
        <w:bidi w:val="0"/>
        <w:spacing w:line="360" w:lineRule="auto"/>
        <w:ind w:left="0"/>
        <w:jc w:val="lowKashida"/>
        <w:rPr>
          <w:rFonts w:asciiTheme="majorBidi" w:hAnsiTheme="majorBidi" w:cstheme="majorBidi"/>
          <w:b/>
          <w:bCs/>
          <w:i/>
          <w:iCs/>
          <w:sz w:val="28"/>
          <w:szCs w:val="28"/>
        </w:rPr>
      </w:pPr>
      <w:r>
        <w:t xml:space="preserve">     </w:t>
      </w:r>
      <w:r w:rsidRPr="00157965">
        <w:rPr>
          <w:rFonts w:asciiTheme="majorBidi" w:hAnsiTheme="majorBidi" w:cstheme="majorBidi"/>
          <w:sz w:val="28"/>
          <w:szCs w:val="28"/>
        </w:rPr>
        <w:t xml:space="preserve">For those isolated CNS </w:t>
      </w:r>
      <w:proofErr w:type="spellStart"/>
      <w:r w:rsidRPr="00157965">
        <w:rPr>
          <w:rFonts w:asciiTheme="majorBidi" w:hAnsiTheme="majorBidi" w:cstheme="majorBidi"/>
          <w:sz w:val="28"/>
          <w:szCs w:val="28"/>
        </w:rPr>
        <w:t>Bp</w:t>
      </w:r>
      <w:proofErr w:type="spellEnd"/>
      <w:r w:rsidRPr="00157965">
        <w:rPr>
          <w:rFonts w:asciiTheme="majorBidi" w:hAnsiTheme="majorBidi" w:cstheme="majorBidi"/>
          <w:sz w:val="28"/>
          <w:szCs w:val="28"/>
        </w:rPr>
        <w:t xml:space="preserve">-ALL relapses occurring more than 18 months from diagnosis, survival rates of 70% can be achieved with </w:t>
      </w:r>
      <w:r w:rsidR="00611BCD" w:rsidRPr="00157965">
        <w:rPr>
          <w:rFonts w:asciiTheme="majorBidi" w:hAnsiTheme="majorBidi" w:cstheme="majorBidi"/>
          <w:sz w:val="28"/>
          <w:szCs w:val="28"/>
        </w:rPr>
        <w:t>chemo radiation</w:t>
      </w:r>
      <w:r w:rsidRPr="00157965">
        <w:rPr>
          <w:rFonts w:asciiTheme="majorBidi" w:hAnsiTheme="majorBidi" w:cstheme="majorBidi"/>
          <w:sz w:val="28"/>
          <w:szCs w:val="28"/>
        </w:rPr>
        <w:t xml:space="preserve">. Treatment of isolated testicular relapse also depends on duration of CR1, with worse outcomes for those patients experiencing an isolated testicular relapse while still receiving upfront therapy. Therapy for testicular relapse usually consists of intensive </w:t>
      </w:r>
      <w:proofErr w:type="spellStart"/>
      <w:r w:rsidRPr="00157965">
        <w:rPr>
          <w:rFonts w:asciiTheme="majorBidi" w:hAnsiTheme="majorBidi" w:cstheme="majorBidi"/>
          <w:sz w:val="28"/>
          <w:szCs w:val="28"/>
        </w:rPr>
        <w:t>reinduction</w:t>
      </w:r>
      <w:proofErr w:type="spellEnd"/>
      <w:r w:rsidRPr="00157965">
        <w:rPr>
          <w:rFonts w:asciiTheme="majorBidi" w:hAnsiTheme="majorBidi" w:cstheme="majorBidi"/>
          <w:sz w:val="28"/>
          <w:szCs w:val="28"/>
        </w:rPr>
        <w:t xml:space="preserve"> chemotherapy (often including high-dose methotrexate) followed by testicular radiation or orchiectomy if complete remission is not achieved</w:t>
      </w:r>
      <w:r w:rsidR="006D7023">
        <w:rPr>
          <w:rFonts w:asciiTheme="majorBidi" w:hAnsiTheme="majorBidi" w:cstheme="majorBidi"/>
          <w:sz w:val="28"/>
          <w:szCs w:val="28"/>
        </w:rPr>
        <w:t xml:space="preserve"> </w:t>
      </w:r>
      <w:r w:rsidR="006D7023" w:rsidRPr="006D7023">
        <w:rPr>
          <w:rFonts w:asciiTheme="majorBidi" w:hAnsiTheme="majorBidi" w:cstheme="majorBidi"/>
          <w:b/>
          <w:bCs/>
          <w:i/>
          <w:iCs/>
          <w:sz w:val="28"/>
          <w:szCs w:val="28"/>
        </w:rPr>
        <w:t>(Cooper and Brown, 2015).</w:t>
      </w:r>
    </w:p>
    <w:p w:rsidR="006D7023" w:rsidRDefault="006D7023" w:rsidP="006D7023">
      <w:pPr>
        <w:pStyle w:val="ListParagraph"/>
        <w:bidi w:val="0"/>
        <w:spacing w:line="360" w:lineRule="auto"/>
        <w:ind w:left="0"/>
        <w:jc w:val="lowKashida"/>
        <w:rPr>
          <w:rFonts w:asciiTheme="majorBidi" w:hAnsiTheme="majorBidi" w:cstheme="majorBidi"/>
          <w:b/>
          <w:bCs/>
          <w:sz w:val="28"/>
          <w:szCs w:val="28"/>
        </w:rPr>
      </w:pPr>
      <w:r w:rsidRPr="006D7023">
        <w:rPr>
          <w:rFonts w:asciiTheme="majorBidi" w:hAnsiTheme="majorBidi" w:cstheme="majorBidi"/>
          <w:b/>
          <w:bCs/>
          <w:sz w:val="28"/>
          <w:szCs w:val="28"/>
        </w:rPr>
        <w:t>4-</w:t>
      </w:r>
      <w:r w:rsidRPr="006D7023">
        <w:rPr>
          <w:b/>
          <w:bCs/>
        </w:rPr>
        <w:t xml:space="preserve"> </w:t>
      </w:r>
      <w:r w:rsidRPr="006D7023">
        <w:rPr>
          <w:rFonts w:asciiTheme="majorBidi" w:hAnsiTheme="majorBidi" w:cstheme="majorBidi"/>
          <w:b/>
          <w:bCs/>
          <w:sz w:val="28"/>
          <w:szCs w:val="28"/>
        </w:rPr>
        <w:t xml:space="preserve">Novel Agents </w:t>
      </w:r>
      <w:proofErr w:type="gramStart"/>
      <w:r w:rsidRPr="006D7023">
        <w:rPr>
          <w:rFonts w:asciiTheme="majorBidi" w:hAnsiTheme="majorBidi" w:cstheme="majorBidi"/>
          <w:b/>
          <w:bCs/>
          <w:sz w:val="28"/>
          <w:szCs w:val="28"/>
        </w:rPr>
        <w:t>in  the</w:t>
      </w:r>
      <w:proofErr w:type="gramEnd"/>
      <w:r w:rsidRPr="006D7023">
        <w:rPr>
          <w:rFonts w:asciiTheme="majorBidi" w:hAnsiTheme="majorBidi" w:cstheme="majorBidi"/>
          <w:b/>
          <w:bCs/>
          <w:sz w:val="28"/>
          <w:szCs w:val="28"/>
        </w:rPr>
        <w:t xml:space="preserve"> treatment of (ALL):</w:t>
      </w:r>
    </w:p>
    <w:p w:rsidR="00B77907" w:rsidRDefault="00B77907" w:rsidP="00B77907">
      <w:pPr>
        <w:pStyle w:val="ListParagraph"/>
        <w:bidi w:val="0"/>
        <w:spacing w:line="360" w:lineRule="auto"/>
        <w:ind w:left="0"/>
        <w:jc w:val="lowKashida"/>
        <w:rPr>
          <w:rFonts w:asciiTheme="majorBidi" w:hAnsiTheme="majorBidi" w:cstheme="majorBidi"/>
          <w:b/>
          <w:bCs/>
          <w:i/>
          <w:iCs/>
          <w:sz w:val="28"/>
          <w:szCs w:val="28"/>
        </w:rPr>
      </w:pPr>
      <w:r w:rsidRPr="00B77907">
        <w:rPr>
          <w:rFonts w:asciiTheme="majorBidi" w:hAnsiTheme="majorBidi" w:cstheme="majorBidi"/>
          <w:sz w:val="28"/>
          <w:szCs w:val="28"/>
        </w:rPr>
        <w:t xml:space="preserve">         Immunotherapy is a broad and promising field that seeks to harness the power of the immune system to allow for a more targeted approach. Chimeric antigen receptors are one example of modified adoptive cell transfer whereby the patient’s own cytotoxic T cells are genetically engineered to express an antibody to target leukemic antigens (often CD19), often enhanced by the inclusion of costimulatory binding regions that allow for improved cytotoxicity and duration of cells</w:t>
      </w:r>
      <w:r>
        <w:rPr>
          <w:rFonts w:asciiTheme="majorBidi" w:hAnsiTheme="majorBidi" w:cstheme="majorBidi"/>
          <w:sz w:val="28"/>
          <w:szCs w:val="28"/>
        </w:rPr>
        <w:t xml:space="preserve"> </w:t>
      </w:r>
      <w:r w:rsidRPr="00B77907">
        <w:rPr>
          <w:rFonts w:asciiTheme="majorBidi" w:hAnsiTheme="majorBidi" w:cstheme="majorBidi"/>
          <w:b/>
          <w:bCs/>
          <w:i/>
          <w:iCs/>
          <w:sz w:val="28"/>
          <w:szCs w:val="28"/>
        </w:rPr>
        <w:t>(</w:t>
      </w:r>
      <w:proofErr w:type="spellStart"/>
      <w:r w:rsidRPr="00B77907">
        <w:rPr>
          <w:rFonts w:asciiTheme="majorBidi" w:hAnsiTheme="majorBidi" w:cstheme="majorBidi"/>
          <w:b/>
          <w:bCs/>
          <w:i/>
          <w:iCs/>
          <w:sz w:val="28"/>
          <w:szCs w:val="28"/>
        </w:rPr>
        <w:t>Brentjens</w:t>
      </w:r>
      <w:proofErr w:type="spellEnd"/>
      <w:r w:rsidRPr="00B77907">
        <w:rPr>
          <w:rFonts w:asciiTheme="majorBidi" w:hAnsiTheme="majorBidi" w:cstheme="majorBidi"/>
          <w:b/>
          <w:bCs/>
          <w:i/>
          <w:iCs/>
          <w:sz w:val="28"/>
          <w:szCs w:val="28"/>
        </w:rPr>
        <w:t xml:space="preserve"> and Curran 2012)</w:t>
      </w:r>
      <w:r w:rsidRPr="00B77907">
        <w:rPr>
          <w:rFonts w:asciiTheme="majorBidi" w:hAnsiTheme="majorBidi" w:cstheme="majorBidi"/>
          <w:sz w:val="28"/>
          <w:szCs w:val="28"/>
        </w:rPr>
        <w:t xml:space="preserve">. Another example of immunotherapy is </w:t>
      </w:r>
      <w:proofErr w:type="spellStart"/>
      <w:r w:rsidRPr="00B77907">
        <w:rPr>
          <w:rFonts w:asciiTheme="majorBidi" w:hAnsiTheme="majorBidi" w:cstheme="majorBidi"/>
          <w:sz w:val="28"/>
          <w:szCs w:val="28"/>
        </w:rPr>
        <w:t>blinatumomab</w:t>
      </w:r>
      <w:proofErr w:type="spellEnd"/>
      <w:r w:rsidRPr="00B77907">
        <w:rPr>
          <w:rFonts w:asciiTheme="majorBidi" w:hAnsiTheme="majorBidi" w:cstheme="majorBidi"/>
          <w:sz w:val="28"/>
          <w:szCs w:val="28"/>
        </w:rPr>
        <w:t xml:space="preserve">, a bispecific anti-CD19/CD3 molecule, which </w:t>
      </w:r>
      <w:r>
        <w:rPr>
          <w:rFonts w:asciiTheme="majorBidi" w:hAnsiTheme="majorBidi" w:cstheme="majorBidi"/>
          <w:sz w:val="28"/>
          <w:szCs w:val="28"/>
        </w:rPr>
        <w:t>enforce</w:t>
      </w:r>
      <w:r w:rsidRPr="00B77907">
        <w:rPr>
          <w:rFonts w:asciiTheme="majorBidi" w:hAnsiTheme="majorBidi" w:cstheme="majorBidi"/>
          <w:sz w:val="28"/>
          <w:szCs w:val="28"/>
        </w:rPr>
        <w:t xml:space="preserve"> cytotoxic killing by binding both a protein expressed on the leukemic blast (CD19) and one expresse</w:t>
      </w:r>
      <w:r>
        <w:rPr>
          <w:rFonts w:asciiTheme="majorBidi" w:hAnsiTheme="majorBidi" w:cstheme="majorBidi"/>
          <w:sz w:val="28"/>
          <w:szCs w:val="28"/>
        </w:rPr>
        <w:t xml:space="preserve">d on autologous T cells (CD3) </w:t>
      </w:r>
      <w:r w:rsidRPr="00B77907">
        <w:rPr>
          <w:rFonts w:asciiTheme="majorBidi" w:hAnsiTheme="majorBidi" w:cstheme="majorBidi"/>
          <w:b/>
          <w:bCs/>
          <w:i/>
          <w:iCs/>
          <w:sz w:val="28"/>
          <w:szCs w:val="28"/>
        </w:rPr>
        <w:t>(Hoffman and  Gore,2014).</w:t>
      </w:r>
    </w:p>
    <w:p w:rsidR="00E331F5" w:rsidRDefault="00E331F5" w:rsidP="00E331F5">
      <w:pPr>
        <w:pStyle w:val="ListParagraph"/>
        <w:bidi w:val="0"/>
        <w:spacing w:line="360" w:lineRule="auto"/>
        <w:ind w:left="0"/>
        <w:jc w:val="lowKashida"/>
        <w:rPr>
          <w:rFonts w:asciiTheme="majorBidi" w:hAnsiTheme="majorBidi" w:cstheme="majorBidi"/>
          <w:b/>
          <w:bCs/>
          <w:i/>
          <w:iCs/>
          <w:sz w:val="28"/>
          <w:szCs w:val="28"/>
        </w:rPr>
      </w:pPr>
    </w:p>
    <w:p w:rsidR="00E331F5" w:rsidRPr="00B77907" w:rsidRDefault="00E331F5" w:rsidP="00E331F5">
      <w:pPr>
        <w:pStyle w:val="ListParagraph"/>
        <w:bidi w:val="0"/>
        <w:spacing w:line="360" w:lineRule="auto"/>
        <w:ind w:left="0"/>
        <w:jc w:val="lowKashida"/>
        <w:rPr>
          <w:rFonts w:asciiTheme="majorBidi" w:hAnsiTheme="majorBidi" w:cstheme="majorBidi"/>
          <w:b/>
          <w:bCs/>
          <w:i/>
          <w:iCs/>
          <w:sz w:val="28"/>
          <w:szCs w:val="28"/>
        </w:rPr>
      </w:pPr>
    </w:p>
    <w:p w:rsidR="00E331F5" w:rsidRPr="00053390" w:rsidRDefault="000C5687" w:rsidP="00053390">
      <w:pPr>
        <w:pStyle w:val="NormalWeb"/>
        <w:bidi w:val="0"/>
        <w:jc w:val="center"/>
        <w:rPr>
          <w:rFonts w:asciiTheme="majorBidi" w:hAnsiTheme="majorBidi" w:cstheme="majorBidi"/>
          <w:b/>
          <w:bCs/>
          <w:sz w:val="28"/>
          <w:szCs w:val="28"/>
        </w:rPr>
      </w:pPr>
      <w:r w:rsidRPr="00E331F5">
        <w:rPr>
          <w:rFonts w:asciiTheme="majorBidi" w:eastAsia="Times New Roman" w:hAnsiTheme="majorBidi" w:cstheme="majorBidi"/>
          <w:b/>
          <w:bCs/>
          <w:color w:val="000000"/>
          <w:sz w:val="28"/>
          <w:szCs w:val="28"/>
          <w:lang w:bidi="ar-EG"/>
        </w:rPr>
        <w:lastRenderedPageBreak/>
        <w:t>Influence</w:t>
      </w:r>
      <w:r w:rsidR="00E331F5" w:rsidRPr="00E331F5">
        <w:rPr>
          <w:rFonts w:asciiTheme="majorBidi" w:eastAsia="Times New Roman" w:hAnsiTheme="majorBidi" w:cstheme="majorBidi"/>
          <w:b/>
          <w:bCs/>
          <w:color w:val="000000"/>
          <w:sz w:val="28"/>
          <w:szCs w:val="28"/>
          <w:lang w:bidi="ar-EG"/>
        </w:rPr>
        <w:t xml:space="preserve"> </w:t>
      </w:r>
      <w:proofErr w:type="gramStart"/>
      <w:r w:rsidR="00E331F5" w:rsidRPr="00E331F5">
        <w:rPr>
          <w:rFonts w:asciiTheme="majorBidi" w:eastAsia="Times New Roman" w:hAnsiTheme="majorBidi" w:cstheme="majorBidi"/>
          <w:b/>
          <w:bCs/>
          <w:color w:val="000000"/>
          <w:sz w:val="28"/>
          <w:szCs w:val="28"/>
          <w:lang w:bidi="ar-EG"/>
        </w:rPr>
        <w:t>of  TPMT</w:t>
      </w:r>
      <w:proofErr w:type="gramEnd"/>
      <w:r w:rsidR="00E331F5" w:rsidRPr="00E331F5">
        <w:rPr>
          <w:rFonts w:asciiTheme="majorBidi" w:eastAsia="Times New Roman" w:hAnsiTheme="majorBidi" w:cstheme="majorBidi"/>
          <w:b/>
          <w:bCs/>
          <w:color w:val="000000"/>
          <w:sz w:val="28"/>
          <w:szCs w:val="28"/>
          <w:lang w:bidi="ar-EG"/>
        </w:rPr>
        <w:t xml:space="preserve"> genetic polymorphism </w:t>
      </w:r>
      <w:r w:rsidR="007965E5">
        <w:rPr>
          <w:rFonts w:asciiTheme="majorBidi" w:eastAsia="Times New Roman" w:hAnsiTheme="majorBidi" w:cstheme="majorBidi"/>
          <w:b/>
          <w:bCs/>
          <w:color w:val="000000"/>
          <w:sz w:val="28"/>
          <w:szCs w:val="28"/>
          <w:lang w:bidi="ar-EG"/>
        </w:rPr>
        <w:t>o</w:t>
      </w:r>
      <w:r w:rsidR="00E331F5" w:rsidRPr="00E331F5">
        <w:rPr>
          <w:rFonts w:asciiTheme="majorBidi" w:eastAsia="Times New Roman" w:hAnsiTheme="majorBidi" w:cstheme="majorBidi"/>
          <w:b/>
          <w:bCs/>
          <w:color w:val="000000"/>
          <w:sz w:val="28"/>
          <w:szCs w:val="28"/>
          <w:lang w:bidi="ar-EG"/>
        </w:rPr>
        <w:t xml:space="preserve">n 6-MP </w:t>
      </w:r>
      <w:r w:rsidR="0020734F">
        <w:rPr>
          <w:rFonts w:asciiTheme="majorBidi" w:eastAsia="Times New Roman" w:hAnsiTheme="majorBidi" w:cstheme="majorBidi"/>
          <w:b/>
          <w:bCs/>
          <w:color w:val="000000"/>
          <w:sz w:val="28"/>
          <w:szCs w:val="28"/>
          <w:lang w:bidi="ar-EG"/>
        </w:rPr>
        <w:t xml:space="preserve">     </w:t>
      </w:r>
      <w:r w:rsidR="007965E5">
        <w:rPr>
          <w:rFonts w:asciiTheme="majorBidi" w:eastAsia="Times New Roman" w:hAnsiTheme="majorBidi" w:cstheme="majorBidi"/>
          <w:b/>
          <w:bCs/>
          <w:color w:val="000000"/>
          <w:sz w:val="28"/>
          <w:szCs w:val="28"/>
          <w:lang w:bidi="ar-EG"/>
        </w:rPr>
        <w:t xml:space="preserve">related </w:t>
      </w:r>
      <w:r w:rsidR="00E331F5" w:rsidRPr="00E331F5">
        <w:rPr>
          <w:rFonts w:asciiTheme="majorBidi" w:eastAsia="Times New Roman" w:hAnsiTheme="majorBidi" w:cstheme="majorBidi"/>
          <w:b/>
          <w:bCs/>
          <w:color w:val="000000"/>
          <w:sz w:val="28"/>
          <w:szCs w:val="28"/>
          <w:lang w:bidi="ar-EG"/>
        </w:rPr>
        <w:t xml:space="preserve">toxicity </w:t>
      </w:r>
      <w:r>
        <w:rPr>
          <w:rFonts w:asciiTheme="majorBidi" w:eastAsia="Times New Roman" w:hAnsiTheme="majorBidi" w:cstheme="majorBidi"/>
          <w:b/>
          <w:bCs/>
          <w:color w:val="000000"/>
          <w:sz w:val="28"/>
          <w:szCs w:val="28"/>
          <w:lang w:bidi="ar-EG"/>
        </w:rPr>
        <w:t xml:space="preserve">during </w:t>
      </w:r>
      <w:r w:rsidR="00F742F6">
        <w:rPr>
          <w:rFonts w:asciiTheme="majorBidi" w:eastAsia="Times New Roman" w:hAnsiTheme="majorBidi" w:cstheme="majorBidi"/>
          <w:b/>
          <w:bCs/>
          <w:color w:val="000000"/>
          <w:sz w:val="28"/>
          <w:szCs w:val="28"/>
          <w:lang w:bidi="ar-EG"/>
        </w:rPr>
        <w:t>maintenance</w:t>
      </w:r>
      <w:r>
        <w:rPr>
          <w:rFonts w:asciiTheme="majorBidi" w:eastAsia="Times New Roman" w:hAnsiTheme="majorBidi" w:cstheme="majorBidi"/>
          <w:b/>
          <w:bCs/>
          <w:color w:val="000000"/>
          <w:sz w:val="28"/>
          <w:szCs w:val="28"/>
          <w:lang w:bidi="ar-EG"/>
        </w:rPr>
        <w:t xml:space="preserve"> therapy of </w:t>
      </w:r>
      <w:r w:rsidR="00E331F5" w:rsidRPr="00E331F5">
        <w:rPr>
          <w:rFonts w:asciiTheme="majorBidi" w:eastAsia="Times New Roman" w:hAnsiTheme="majorBidi" w:cstheme="majorBidi"/>
          <w:b/>
          <w:bCs/>
          <w:color w:val="000000"/>
          <w:sz w:val="28"/>
          <w:szCs w:val="28"/>
          <w:lang w:bidi="ar-EG"/>
        </w:rPr>
        <w:t xml:space="preserve"> ALL</w:t>
      </w:r>
    </w:p>
    <w:p w:rsidR="001740E0" w:rsidRPr="0026340D" w:rsidRDefault="001740E0" w:rsidP="0020734F">
      <w:pPr>
        <w:bidi w:val="0"/>
        <w:spacing w:before="100" w:beforeAutospacing="1" w:after="100" w:afterAutospacing="1" w:line="360" w:lineRule="auto"/>
        <w:jc w:val="lowKashida"/>
        <w:rPr>
          <w:rFonts w:asciiTheme="majorBidi" w:hAnsiTheme="majorBidi" w:cstheme="majorBidi"/>
          <w:b/>
          <w:bCs/>
          <w:i/>
          <w:iCs/>
          <w:sz w:val="28"/>
          <w:szCs w:val="28"/>
        </w:rPr>
      </w:pPr>
      <w:r>
        <w:t xml:space="preserve">     </w:t>
      </w:r>
      <w:r w:rsidR="0026340D">
        <w:t xml:space="preserve">   </w:t>
      </w:r>
      <w:r w:rsidRPr="001740E0">
        <w:rPr>
          <w:rFonts w:asciiTheme="majorBidi" w:hAnsiTheme="majorBidi" w:cstheme="majorBidi"/>
          <w:sz w:val="28"/>
          <w:szCs w:val="28"/>
        </w:rPr>
        <w:t xml:space="preserve">In the induction phase, chemotherapeutic agents including vincristine, anthracyclines, </w:t>
      </w:r>
      <w:proofErr w:type="gramStart"/>
      <w:r w:rsidRPr="001740E0">
        <w:rPr>
          <w:rFonts w:asciiTheme="majorBidi" w:hAnsiTheme="majorBidi" w:cstheme="majorBidi"/>
          <w:sz w:val="28"/>
          <w:szCs w:val="28"/>
        </w:rPr>
        <w:t>corticosteroids</w:t>
      </w:r>
      <w:r w:rsidR="0020734F">
        <w:rPr>
          <w:rFonts w:asciiTheme="majorBidi" w:hAnsiTheme="majorBidi" w:cstheme="majorBidi"/>
          <w:sz w:val="28"/>
          <w:szCs w:val="28"/>
        </w:rPr>
        <w:t xml:space="preserve"> </w:t>
      </w:r>
      <w:r w:rsidRPr="001740E0">
        <w:rPr>
          <w:rFonts w:asciiTheme="majorBidi" w:hAnsiTheme="majorBidi" w:cstheme="majorBidi"/>
          <w:sz w:val="28"/>
          <w:szCs w:val="28"/>
        </w:rPr>
        <w:t xml:space="preserve"> and</w:t>
      </w:r>
      <w:proofErr w:type="gramEnd"/>
      <w:r w:rsidRPr="001740E0">
        <w:rPr>
          <w:rFonts w:asciiTheme="majorBidi" w:hAnsiTheme="majorBidi" w:cstheme="majorBidi"/>
          <w:sz w:val="28"/>
          <w:szCs w:val="28"/>
        </w:rPr>
        <w:t xml:space="preserve"> </w:t>
      </w:r>
      <w:r w:rsidR="0026340D">
        <w:rPr>
          <w:rFonts w:asciiTheme="majorBidi" w:hAnsiTheme="majorBidi" w:cstheme="majorBidi"/>
          <w:sz w:val="28"/>
          <w:szCs w:val="28"/>
        </w:rPr>
        <w:t xml:space="preserve">  </w:t>
      </w:r>
      <w:proofErr w:type="spellStart"/>
      <w:r w:rsidRPr="001740E0">
        <w:rPr>
          <w:rFonts w:asciiTheme="majorBidi" w:hAnsiTheme="majorBidi" w:cstheme="majorBidi"/>
          <w:sz w:val="28"/>
          <w:szCs w:val="28"/>
        </w:rPr>
        <w:t>asparaginase</w:t>
      </w:r>
      <w:proofErr w:type="spellEnd"/>
      <w:r w:rsidRPr="001740E0">
        <w:rPr>
          <w:rFonts w:asciiTheme="majorBidi" w:hAnsiTheme="majorBidi" w:cstheme="majorBidi"/>
          <w:sz w:val="28"/>
          <w:szCs w:val="28"/>
        </w:rPr>
        <w:t xml:space="preserve"> are used to immediately kill off leukemic cells. </w:t>
      </w:r>
      <w:r>
        <w:rPr>
          <w:rFonts w:asciiTheme="majorBidi" w:hAnsiTheme="majorBidi" w:cstheme="majorBidi"/>
          <w:sz w:val="28"/>
          <w:szCs w:val="28"/>
        </w:rPr>
        <w:t>H</w:t>
      </w:r>
      <w:r w:rsidRPr="001740E0">
        <w:rPr>
          <w:rFonts w:asciiTheme="majorBidi" w:hAnsiTheme="majorBidi" w:cstheme="majorBidi"/>
          <w:sz w:val="28"/>
          <w:szCs w:val="28"/>
        </w:rPr>
        <w:t>igh toxicity and substantial side effects</w:t>
      </w:r>
      <w:r>
        <w:rPr>
          <w:rFonts w:asciiTheme="majorBidi" w:hAnsiTheme="majorBidi" w:cstheme="majorBidi"/>
          <w:sz w:val="28"/>
          <w:szCs w:val="28"/>
        </w:rPr>
        <w:t xml:space="preserve"> are reported for</w:t>
      </w:r>
      <w:r w:rsidRPr="001740E0">
        <w:rPr>
          <w:rFonts w:asciiTheme="majorBidi" w:hAnsiTheme="majorBidi" w:cstheme="majorBidi"/>
          <w:sz w:val="28"/>
          <w:szCs w:val="28"/>
        </w:rPr>
        <w:t xml:space="preserve"> </w:t>
      </w:r>
      <w:r>
        <w:rPr>
          <w:rFonts w:asciiTheme="majorBidi" w:hAnsiTheme="majorBidi" w:cstheme="majorBidi"/>
          <w:sz w:val="28"/>
          <w:szCs w:val="28"/>
        </w:rPr>
        <w:t>t</w:t>
      </w:r>
      <w:r w:rsidRPr="001740E0">
        <w:rPr>
          <w:rFonts w:asciiTheme="majorBidi" w:hAnsiTheme="majorBidi" w:cstheme="majorBidi"/>
          <w:sz w:val="28"/>
          <w:szCs w:val="28"/>
        </w:rPr>
        <w:t xml:space="preserve">hese drugs. In the consolidation phase, these drugs are used </w:t>
      </w:r>
      <w:r w:rsidR="0020734F">
        <w:rPr>
          <w:rFonts w:asciiTheme="majorBidi" w:hAnsiTheme="majorBidi" w:cstheme="majorBidi"/>
          <w:sz w:val="28"/>
          <w:szCs w:val="28"/>
        </w:rPr>
        <w:t xml:space="preserve">together </w:t>
      </w:r>
      <w:r w:rsidR="0020734F" w:rsidRPr="001740E0">
        <w:rPr>
          <w:rFonts w:asciiTheme="majorBidi" w:hAnsiTheme="majorBidi" w:cstheme="majorBidi"/>
          <w:sz w:val="28"/>
          <w:szCs w:val="28"/>
        </w:rPr>
        <w:t>to</w:t>
      </w:r>
      <w:r w:rsidRPr="001740E0">
        <w:rPr>
          <w:rFonts w:asciiTheme="majorBidi" w:hAnsiTheme="majorBidi" w:cstheme="majorBidi"/>
          <w:sz w:val="28"/>
          <w:szCs w:val="28"/>
        </w:rPr>
        <w:t xml:space="preserve"> maximize synergy.</w:t>
      </w:r>
      <w:r>
        <w:rPr>
          <w:rFonts w:asciiTheme="majorBidi" w:hAnsiTheme="majorBidi" w:cstheme="majorBidi"/>
          <w:sz w:val="28"/>
          <w:szCs w:val="28"/>
        </w:rPr>
        <w:t xml:space="preserve"> </w:t>
      </w:r>
      <w:r w:rsidRPr="001740E0">
        <w:rPr>
          <w:rFonts w:asciiTheme="majorBidi" w:hAnsiTheme="majorBidi" w:cstheme="majorBidi"/>
          <w:sz w:val="28"/>
          <w:szCs w:val="28"/>
        </w:rPr>
        <w:t xml:space="preserve"> Although the drugs used in these first two stages are relatively toxic, these phases of the treatment </w:t>
      </w:r>
      <w:r w:rsidR="008C3A30" w:rsidRPr="001740E0">
        <w:rPr>
          <w:rFonts w:asciiTheme="majorBidi" w:hAnsiTheme="majorBidi" w:cstheme="majorBidi"/>
          <w:sz w:val="28"/>
          <w:szCs w:val="28"/>
        </w:rPr>
        <w:t xml:space="preserve">usually </w:t>
      </w:r>
      <w:r w:rsidR="008C3A30">
        <w:rPr>
          <w:rFonts w:asciiTheme="majorBidi" w:hAnsiTheme="majorBidi" w:cstheme="majorBidi"/>
          <w:sz w:val="28"/>
          <w:szCs w:val="28"/>
        </w:rPr>
        <w:t>last</w:t>
      </w:r>
      <w:r w:rsidRPr="001740E0">
        <w:rPr>
          <w:rFonts w:asciiTheme="majorBidi" w:hAnsiTheme="majorBidi" w:cstheme="majorBidi"/>
          <w:sz w:val="28"/>
          <w:szCs w:val="28"/>
        </w:rPr>
        <w:t xml:space="preserve"> for several weeks to several months only</w:t>
      </w:r>
      <w:r w:rsidR="0026340D">
        <w:rPr>
          <w:rFonts w:asciiTheme="majorBidi" w:hAnsiTheme="majorBidi" w:cstheme="majorBidi"/>
          <w:sz w:val="28"/>
          <w:szCs w:val="28"/>
        </w:rPr>
        <w:t xml:space="preserve"> </w:t>
      </w:r>
      <w:r w:rsidR="0026340D" w:rsidRPr="0026340D">
        <w:rPr>
          <w:rFonts w:asciiTheme="majorBidi" w:hAnsiTheme="majorBidi" w:cstheme="majorBidi"/>
          <w:b/>
          <w:bCs/>
          <w:i/>
          <w:iCs/>
          <w:sz w:val="28"/>
          <w:szCs w:val="28"/>
        </w:rPr>
        <w:t xml:space="preserve">(Cooper and </w:t>
      </w:r>
      <w:proofErr w:type="gramStart"/>
      <w:r w:rsidR="0026340D" w:rsidRPr="0026340D">
        <w:rPr>
          <w:rFonts w:asciiTheme="majorBidi" w:hAnsiTheme="majorBidi" w:cstheme="majorBidi"/>
          <w:b/>
          <w:bCs/>
          <w:i/>
          <w:iCs/>
          <w:sz w:val="28"/>
          <w:szCs w:val="28"/>
        </w:rPr>
        <w:t>Brown ,</w:t>
      </w:r>
      <w:proofErr w:type="gramEnd"/>
      <w:r w:rsidR="0026340D" w:rsidRPr="0026340D">
        <w:rPr>
          <w:rFonts w:asciiTheme="majorBidi" w:hAnsiTheme="majorBidi" w:cstheme="majorBidi"/>
          <w:b/>
          <w:bCs/>
          <w:i/>
          <w:iCs/>
          <w:sz w:val="28"/>
          <w:szCs w:val="28"/>
        </w:rPr>
        <w:t xml:space="preserve"> 2015)</w:t>
      </w:r>
      <w:r w:rsidRPr="0026340D">
        <w:rPr>
          <w:rFonts w:asciiTheme="majorBidi" w:hAnsiTheme="majorBidi" w:cstheme="majorBidi"/>
          <w:b/>
          <w:bCs/>
          <w:i/>
          <w:iCs/>
          <w:sz w:val="28"/>
          <w:szCs w:val="28"/>
        </w:rPr>
        <w:t>.</w:t>
      </w:r>
    </w:p>
    <w:p w:rsidR="001740E0" w:rsidRDefault="000C2AA8" w:rsidP="008C3A30">
      <w:pPr>
        <w:bidi w:val="0"/>
        <w:spacing w:before="100" w:beforeAutospacing="1" w:after="100" w:afterAutospacing="1" w:line="360" w:lineRule="auto"/>
        <w:jc w:val="lowKashida"/>
        <w:rPr>
          <w:rFonts w:asciiTheme="majorBidi" w:eastAsia="Times New Roman" w:hAnsiTheme="majorBidi" w:cstheme="majorBidi"/>
          <w:b/>
          <w:bCs/>
          <w:color w:val="000000"/>
          <w:sz w:val="28"/>
          <w:szCs w:val="28"/>
          <w:lang w:bidi="ar-EG"/>
        </w:rPr>
      </w:pPr>
      <w:r>
        <w:rPr>
          <w:rFonts w:asciiTheme="majorBidi" w:hAnsiTheme="majorBidi" w:cstheme="majorBidi"/>
          <w:sz w:val="28"/>
          <w:szCs w:val="28"/>
        </w:rPr>
        <w:t xml:space="preserve">    </w:t>
      </w:r>
      <w:r w:rsidR="001740E0" w:rsidRPr="001740E0">
        <w:rPr>
          <w:rFonts w:asciiTheme="majorBidi" w:hAnsiTheme="majorBidi" w:cstheme="majorBidi"/>
          <w:sz w:val="28"/>
          <w:szCs w:val="28"/>
        </w:rPr>
        <w:t xml:space="preserve"> 6-mercaptopurine (6-MP) and methotrexate (MTX) are the drugs </w:t>
      </w:r>
      <w:r>
        <w:rPr>
          <w:rFonts w:asciiTheme="majorBidi" w:hAnsiTheme="majorBidi" w:cstheme="majorBidi"/>
          <w:sz w:val="28"/>
          <w:szCs w:val="28"/>
        </w:rPr>
        <w:t>commonly</w:t>
      </w:r>
      <w:r w:rsidR="001740E0" w:rsidRPr="001740E0">
        <w:rPr>
          <w:rFonts w:asciiTheme="majorBidi" w:hAnsiTheme="majorBidi" w:cstheme="majorBidi"/>
          <w:sz w:val="28"/>
          <w:szCs w:val="28"/>
        </w:rPr>
        <w:t xml:space="preserve"> used during maintenance therapy, </w:t>
      </w:r>
      <w:r w:rsidR="008C3A30">
        <w:rPr>
          <w:rFonts w:asciiTheme="majorBidi" w:hAnsiTheme="majorBidi" w:cstheme="majorBidi"/>
          <w:sz w:val="28"/>
          <w:szCs w:val="28"/>
        </w:rPr>
        <w:t xml:space="preserve">they </w:t>
      </w:r>
      <w:proofErr w:type="gramStart"/>
      <w:r w:rsidR="008C3A30">
        <w:rPr>
          <w:rFonts w:asciiTheme="majorBidi" w:hAnsiTheme="majorBidi" w:cstheme="majorBidi"/>
          <w:sz w:val="28"/>
          <w:szCs w:val="28"/>
        </w:rPr>
        <w:t xml:space="preserve">are </w:t>
      </w:r>
      <w:r w:rsidR="001740E0" w:rsidRPr="001740E0">
        <w:rPr>
          <w:rFonts w:asciiTheme="majorBidi" w:hAnsiTheme="majorBidi" w:cstheme="majorBidi"/>
          <w:sz w:val="28"/>
          <w:szCs w:val="28"/>
        </w:rPr>
        <w:t xml:space="preserve"> used</w:t>
      </w:r>
      <w:proofErr w:type="gramEnd"/>
      <w:r w:rsidR="001740E0" w:rsidRPr="001740E0">
        <w:rPr>
          <w:rFonts w:asciiTheme="majorBidi" w:hAnsiTheme="majorBidi" w:cstheme="majorBidi"/>
          <w:sz w:val="28"/>
          <w:szCs w:val="28"/>
        </w:rPr>
        <w:t xml:space="preserve"> consistently and investigated extensively as well.</w:t>
      </w:r>
      <w:r>
        <w:t xml:space="preserve">   </w:t>
      </w:r>
      <w:r>
        <w:rPr>
          <w:rFonts w:asciiTheme="majorBidi" w:hAnsiTheme="majorBidi" w:cstheme="majorBidi"/>
          <w:sz w:val="28"/>
          <w:szCs w:val="28"/>
        </w:rPr>
        <w:t>T</w:t>
      </w:r>
      <w:r w:rsidRPr="001740E0">
        <w:rPr>
          <w:rFonts w:asciiTheme="majorBidi" w:hAnsiTheme="majorBidi" w:cstheme="majorBidi"/>
          <w:sz w:val="28"/>
          <w:szCs w:val="28"/>
        </w:rPr>
        <w:t>he maintenance phase is far longer, lasting approximately 2–3 years in pediatric patients</w:t>
      </w:r>
      <w:r>
        <w:rPr>
          <w:rFonts w:asciiTheme="majorBidi" w:hAnsiTheme="majorBidi" w:cstheme="majorBidi"/>
          <w:sz w:val="28"/>
          <w:szCs w:val="28"/>
        </w:rPr>
        <w:t>.</w:t>
      </w:r>
      <w:r w:rsidR="001740E0" w:rsidRPr="001740E0">
        <w:rPr>
          <w:rFonts w:asciiTheme="majorBidi" w:hAnsiTheme="majorBidi" w:cstheme="majorBidi"/>
          <w:sz w:val="28"/>
          <w:szCs w:val="28"/>
        </w:rPr>
        <w:t xml:space="preserve"> Ideally, chemotherapeutic agents used for so long a period of time should have minimal side effects, or</w:t>
      </w:r>
      <w:r w:rsidR="008C3A30">
        <w:rPr>
          <w:rFonts w:asciiTheme="majorBidi" w:hAnsiTheme="majorBidi" w:cstheme="majorBidi"/>
          <w:sz w:val="28"/>
          <w:szCs w:val="28"/>
        </w:rPr>
        <w:t xml:space="preserve"> </w:t>
      </w:r>
      <w:r w:rsidR="008C3A30" w:rsidRPr="001740E0">
        <w:rPr>
          <w:rFonts w:asciiTheme="majorBidi" w:hAnsiTheme="majorBidi" w:cstheme="majorBidi"/>
          <w:sz w:val="28"/>
          <w:szCs w:val="28"/>
        </w:rPr>
        <w:t>low severe</w:t>
      </w:r>
      <w:r w:rsidR="001740E0" w:rsidRPr="001740E0">
        <w:rPr>
          <w:rFonts w:asciiTheme="majorBidi" w:hAnsiTheme="majorBidi" w:cstheme="majorBidi"/>
          <w:sz w:val="28"/>
          <w:szCs w:val="28"/>
        </w:rPr>
        <w:t xml:space="preserve"> side </w:t>
      </w:r>
      <w:proofErr w:type="gramStart"/>
      <w:r w:rsidR="001740E0" w:rsidRPr="001740E0">
        <w:rPr>
          <w:rFonts w:asciiTheme="majorBidi" w:hAnsiTheme="majorBidi" w:cstheme="majorBidi"/>
          <w:sz w:val="28"/>
          <w:szCs w:val="28"/>
        </w:rPr>
        <w:t>effects .</w:t>
      </w:r>
      <w:proofErr w:type="gramEnd"/>
      <w:r w:rsidR="001740E0" w:rsidRPr="001740E0">
        <w:rPr>
          <w:rFonts w:asciiTheme="majorBidi" w:hAnsiTheme="majorBidi" w:cstheme="majorBidi"/>
          <w:sz w:val="28"/>
          <w:szCs w:val="28"/>
        </w:rPr>
        <w:t xml:space="preserve"> </w:t>
      </w:r>
      <w:r>
        <w:rPr>
          <w:rFonts w:asciiTheme="majorBidi" w:hAnsiTheme="majorBidi" w:cstheme="majorBidi"/>
          <w:sz w:val="28"/>
          <w:szCs w:val="28"/>
        </w:rPr>
        <w:t>However</w:t>
      </w:r>
      <w:r w:rsidR="001740E0" w:rsidRPr="001740E0">
        <w:rPr>
          <w:rFonts w:asciiTheme="majorBidi" w:hAnsiTheme="majorBidi" w:cstheme="majorBidi"/>
          <w:sz w:val="28"/>
          <w:szCs w:val="28"/>
        </w:rPr>
        <w:t xml:space="preserve">, this is not the case for 6-MP and MTX, since both of them have potentially serious and life-threatening toxicities that can occur in a subset of patients </w:t>
      </w:r>
      <w:r w:rsidRPr="000C2AA8">
        <w:rPr>
          <w:rFonts w:asciiTheme="majorBidi" w:hAnsiTheme="majorBidi" w:cstheme="majorBidi"/>
          <w:b/>
          <w:bCs/>
          <w:i/>
          <w:iCs/>
          <w:sz w:val="28"/>
          <w:szCs w:val="28"/>
        </w:rPr>
        <w:t>(Paugh et al., 2010).</w:t>
      </w:r>
    </w:p>
    <w:p w:rsidR="00543A4A" w:rsidRDefault="00543A4A" w:rsidP="00543A4A">
      <w:pPr>
        <w:bidi w:val="0"/>
        <w:spacing w:before="100" w:beforeAutospacing="1" w:after="100" w:afterAutospacing="1" w:line="360" w:lineRule="auto"/>
        <w:jc w:val="both"/>
        <w:rPr>
          <w:rFonts w:asciiTheme="majorBidi" w:hAnsiTheme="majorBidi" w:cstheme="majorBidi"/>
          <w:b/>
          <w:bCs/>
          <w:i/>
          <w:iCs/>
          <w:sz w:val="28"/>
          <w:szCs w:val="28"/>
        </w:rPr>
      </w:pPr>
      <w:r w:rsidRPr="009E1FA2">
        <w:rPr>
          <w:rFonts w:asciiTheme="majorBidi" w:hAnsiTheme="majorBidi" w:cstheme="majorBidi"/>
          <w:sz w:val="28"/>
          <w:szCs w:val="28"/>
        </w:rPr>
        <w:t xml:space="preserve">      Survival rates for pediatric ALL have improved substantially in </w:t>
      </w:r>
      <w:proofErr w:type="gramStart"/>
      <w:r w:rsidRPr="009E1FA2">
        <w:rPr>
          <w:rFonts w:asciiTheme="majorBidi" w:hAnsiTheme="majorBidi" w:cstheme="majorBidi"/>
          <w:sz w:val="28"/>
          <w:szCs w:val="28"/>
        </w:rPr>
        <w:t>recent</w:t>
      </w:r>
      <w:r>
        <w:rPr>
          <w:rFonts w:asciiTheme="majorBidi" w:hAnsiTheme="majorBidi" w:cstheme="majorBidi"/>
          <w:sz w:val="28"/>
          <w:szCs w:val="28"/>
        </w:rPr>
        <w:t xml:space="preserve">ly </w:t>
      </w:r>
      <w:r w:rsidRPr="009E1FA2">
        <w:rPr>
          <w:rFonts w:asciiTheme="majorBidi" w:hAnsiTheme="majorBidi" w:cstheme="majorBidi"/>
          <w:sz w:val="28"/>
          <w:szCs w:val="28"/>
        </w:rPr>
        <w:t>;</w:t>
      </w:r>
      <w:proofErr w:type="gramEnd"/>
      <w:r w:rsidRPr="009E1FA2">
        <w:rPr>
          <w:rFonts w:asciiTheme="majorBidi" w:hAnsiTheme="majorBidi" w:cstheme="majorBidi"/>
          <w:sz w:val="28"/>
          <w:szCs w:val="28"/>
        </w:rPr>
        <w:t xml:space="preserve"> however, the ultimate goal in ALL treatment is to have the best survival outcomes with the least toxicity. As such, treatment regimens are typically designed aiming to minimize toxicity for the pa</w:t>
      </w:r>
      <w:r>
        <w:rPr>
          <w:rFonts w:asciiTheme="majorBidi" w:hAnsiTheme="majorBidi" w:cstheme="majorBidi"/>
          <w:sz w:val="28"/>
          <w:szCs w:val="28"/>
        </w:rPr>
        <w:t xml:space="preserve">tient while maximizing survival </w:t>
      </w:r>
      <w:r w:rsidRPr="000C5687">
        <w:rPr>
          <w:rFonts w:asciiTheme="majorBidi" w:hAnsiTheme="majorBidi" w:cstheme="majorBidi"/>
          <w:b/>
          <w:bCs/>
          <w:i/>
          <w:iCs/>
          <w:sz w:val="28"/>
          <w:szCs w:val="28"/>
        </w:rPr>
        <w:t>(</w:t>
      </w:r>
      <w:proofErr w:type="spellStart"/>
      <w:r w:rsidRPr="000C5687">
        <w:rPr>
          <w:rFonts w:asciiTheme="majorBidi" w:hAnsiTheme="majorBidi" w:cstheme="majorBidi"/>
          <w:b/>
          <w:bCs/>
          <w:i/>
          <w:iCs/>
          <w:sz w:val="28"/>
          <w:szCs w:val="28"/>
        </w:rPr>
        <w:t>Rudin</w:t>
      </w:r>
      <w:proofErr w:type="spellEnd"/>
      <w:r w:rsidRPr="000C5687">
        <w:rPr>
          <w:rFonts w:asciiTheme="majorBidi" w:hAnsiTheme="majorBidi" w:cstheme="majorBidi"/>
          <w:b/>
          <w:bCs/>
          <w:i/>
          <w:iCs/>
          <w:sz w:val="28"/>
          <w:szCs w:val="28"/>
        </w:rPr>
        <w:t xml:space="preserve"> et al., 2017).</w:t>
      </w:r>
    </w:p>
    <w:p w:rsidR="00543A4A" w:rsidRDefault="00543A4A" w:rsidP="00543A4A">
      <w:pPr>
        <w:bidi w:val="0"/>
        <w:spacing w:before="100" w:beforeAutospacing="1" w:after="100" w:afterAutospacing="1" w:line="360" w:lineRule="auto"/>
        <w:jc w:val="lowKashida"/>
        <w:rPr>
          <w:rFonts w:asciiTheme="majorBidi" w:eastAsia="Times New Roman" w:hAnsiTheme="majorBidi" w:cstheme="majorBidi"/>
          <w:b/>
          <w:bCs/>
          <w:color w:val="000000"/>
          <w:sz w:val="28"/>
          <w:szCs w:val="28"/>
          <w:lang w:bidi="ar-EG"/>
        </w:rPr>
      </w:pPr>
    </w:p>
    <w:p w:rsidR="00CE5139" w:rsidRDefault="00CE5139" w:rsidP="00CE5139">
      <w:pPr>
        <w:bidi w:val="0"/>
        <w:spacing w:before="100" w:beforeAutospacing="1" w:after="100" w:afterAutospacing="1" w:line="360" w:lineRule="auto"/>
        <w:jc w:val="center"/>
        <w:rPr>
          <w:rFonts w:asciiTheme="majorBidi" w:eastAsia="Times New Roman" w:hAnsiTheme="majorBidi" w:cstheme="majorBidi"/>
          <w:b/>
          <w:bCs/>
          <w:color w:val="000000"/>
          <w:sz w:val="28"/>
          <w:szCs w:val="28"/>
          <w:lang w:bidi="ar-EG"/>
        </w:rPr>
      </w:pPr>
    </w:p>
    <w:p w:rsidR="00CE5139" w:rsidRDefault="00CE5139" w:rsidP="00543A4A">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Pr>
          <w:rFonts w:asciiTheme="majorBidi" w:eastAsia="Times New Roman" w:hAnsiTheme="majorBidi" w:cstheme="majorBidi"/>
          <w:b/>
          <w:bCs/>
          <w:color w:val="000000"/>
          <w:sz w:val="28"/>
          <w:szCs w:val="28"/>
          <w:lang w:bidi="ar-EG"/>
        </w:rPr>
        <w:lastRenderedPageBreak/>
        <w:t xml:space="preserve">Table (6): </w:t>
      </w:r>
      <w:r w:rsidRPr="00CE5139">
        <w:rPr>
          <w:rFonts w:asciiTheme="majorBidi" w:hAnsiTheme="majorBidi" w:cstheme="majorBidi"/>
          <w:b/>
          <w:bCs/>
          <w:sz w:val="28"/>
          <w:szCs w:val="28"/>
        </w:rPr>
        <w:t>Adverse effects of common chemotherapeutic agents used in the treatment of ALL</w:t>
      </w:r>
      <w:r w:rsidRPr="00CE5139">
        <w:rPr>
          <w:rFonts w:asciiTheme="majorBidi" w:eastAsia="Times New Roman" w:hAnsiTheme="majorBidi" w:cstheme="majorBidi"/>
          <w:b/>
          <w:bCs/>
          <w:color w:val="000000"/>
          <w:sz w:val="28"/>
          <w:szCs w:val="28"/>
          <w:lang w:bidi="ar-EG"/>
        </w:rPr>
        <w:t>:</w:t>
      </w:r>
    </w:p>
    <w:tbl>
      <w:tblPr>
        <w:tblStyle w:val="TableGrid"/>
        <w:tblW w:w="0" w:type="auto"/>
        <w:tblInd w:w="-34" w:type="dxa"/>
        <w:tblLook w:val="04A0" w:firstRow="1" w:lastRow="0" w:firstColumn="1" w:lastColumn="0" w:noHBand="0" w:noVBand="1"/>
      </w:tblPr>
      <w:tblGrid>
        <w:gridCol w:w="3221"/>
        <w:gridCol w:w="5335"/>
      </w:tblGrid>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b/>
                <w:bCs/>
                <w:sz w:val="28"/>
                <w:szCs w:val="28"/>
              </w:rPr>
              <w:t>Agent</w:t>
            </w:r>
          </w:p>
        </w:tc>
        <w:tc>
          <w:tcPr>
            <w:tcW w:w="5335"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b/>
                <w:bCs/>
                <w:sz w:val="28"/>
                <w:szCs w:val="28"/>
              </w:rPr>
              <w:t>Effects</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spellStart"/>
            <w:r w:rsidRPr="009E1FA2">
              <w:rPr>
                <w:rFonts w:asciiTheme="majorBidi" w:hAnsiTheme="majorBidi" w:cstheme="majorBidi"/>
                <w:sz w:val="28"/>
                <w:szCs w:val="28"/>
              </w:rPr>
              <w:t>Asparaginase</w:t>
            </w:r>
            <w:proofErr w:type="spellEnd"/>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Hypersensitivity reactions, pancreatitis, thrombosis</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spellStart"/>
            <w:r w:rsidRPr="009E1FA2">
              <w:rPr>
                <w:rFonts w:asciiTheme="majorBidi" w:hAnsiTheme="majorBidi" w:cstheme="majorBidi"/>
                <w:sz w:val="28"/>
                <w:szCs w:val="28"/>
              </w:rPr>
              <w:t>Clofarabine</w:t>
            </w:r>
            <w:proofErr w:type="spellEnd"/>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Cardiotoxicity, cytokine release syndrome, hepatotoxicity (including sinusoidal obstruction syndrome), pancreatitis, nephrotoxicity</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Corticosteroids</w:t>
            </w:r>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Hypertension, hyperglycemia, osteonecrosis, fluid retention, psychosis</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Cyclophosphamide</w:t>
            </w:r>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Nephrotoxicity, hemorrhagic cystitis, hyponatremia, fluid retention</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spellStart"/>
            <w:r w:rsidRPr="009E1FA2">
              <w:rPr>
                <w:rFonts w:asciiTheme="majorBidi" w:hAnsiTheme="majorBidi" w:cstheme="majorBidi"/>
                <w:sz w:val="28"/>
                <w:szCs w:val="28"/>
              </w:rPr>
              <w:t>Cytarabine</w:t>
            </w:r>
            <w:proofErr w:type="spellEnd"/>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Conjunctivitis, flu-like symptoms</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Doxorubicin/</w:t>
            </w:r>
            <w:proofErr w:type="spellStart"/>
            <w:r w:rsidRPr="009E1FA2">
              <w:rPr>
                <w:rFonts w:asciiTheme="majorBidi" w:hAnsiTheme="majorBidi" w:cstheme="majorBidi"/>
                <w:sz w:val="28"/>
                <w:szCs w:val="28"/>
              </w:rPr>
              <w:t>daunorubicin</w:t>
            </w:r>
            <w:proofErr w:type="spellEnd"/>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Cardiotoxicity, benign red urine</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Etoposide</w:t>
            </w:r>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Nephrotoxicity, hepatotoxicity, hypersensitivity reactions</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Mercaptopurine</w:t>
            </w:r>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Hepatotoxicity</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Methotrexate</w:t>
            </w:r>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Mucositis, nephrotoxicity, hepatotoxicity, encephalopathy</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spellStart"/>
            <w:r w:rsidRPr="009E1FA2">
              <w:rPr>
                <w:rFonts w:asciiTheme="majorBidi" w:hAnsiTheme="majorBidi" w:cstheme="majorBidi"/>
                <w:sz w:val="28"/>
                <w:szCs w:val="28"/>
              </w:rPr>
              <w:t>Thioguanine</w:t>
            </w:r>
            <w:proofErr w:type="spellEnd"/>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Hepatotoxicity (including sinusoidal obstruction syndrome and portal hypertension)</w:t>
            </w:r>
          </w:p>
        </w:tc>
      </w:tr>
      <w:tr w:rsidR="00CE5139" w:rsidTr="009E1FA2">
        <w:tc>
          <w:tcPr>
            <w:tcW w:w="3221" w:type="dxa"/>
          </w:tcPr>
          <w:p w:rsidR="00CE5139" w:rsidRPr="009E1FA2"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Vincristine</w:t>
            </w:r>
          </w:p>
        </w:tc>
        <w:tc>
          <w:tcPr>
            <w:tcW w:w="5335" w:type="dxa"/>
          </w:tcPr>
          <w:p w:rsidR="00CE5139" w:rsidRPr="009E1FA2" w:rsidRDefault="009E1FA2"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9E1FA2">
              <w:rPr>
                <w:rFonts w:asciiTheme="majorBidi" w:hAnsiTheme="majorBidi" w:cstheme="majorBidi"/>
                <w:sz w:val="28"/>
                <w:szCs w:val="28"/>
              </w:rPr>
              <w:t xml:space="preserve">Syndrome of inappropriate diuretic hormone, neuropathy (foot/wrist drop, </w:t>
            </w:r>
            <w:proofErr w:type="spellStart"/>
            <w:r w:rsidRPr="009E1FA2">
              <w:rPr>
                <w:rFonts w:asciiTheme="majorBidi" w:hAnsiTheme="majorBidi" w:cstheme="majorBidi"/>
                <w:sz w:val="28"/>
                <w:szCs w:val="28"/>
              </w:rPr>
              <w:t>paresthesias</w:t>
            </w:r>
            <w:proofErr w:type="spellEnd"/>
            <w:r w:rsidRPr="009E1FA2">
              <w:rPr>
                <w:rFonts w:asciiTheme="majorBidi" w:hAnsiTheme="majorBidi" w:cstheme="majorBidi"/>
                <w:sz w:val="28"/>
                <w:szCs w:val="28"/>
              </w:rPr>
              <w:t>, constipation, ptosis, vocal cord paresis)</w:t>
            </w:r>
          </w:p>
        </w:tc>
      </w:tr>
    </w:tbl>
    <w:p w:rsidR="00CE5139" w:rsidRDefault="00CE5139" w:rsidP="00CE5139">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
    <w:p w:rsidR="00002EE6" w:rsidRDefault="00002EE6"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gramStart"/>
      <w:r>
        <w:rPr>
          <w:rFonts w:asciiTheme="majorBidi" w:eastAsia="Times New Roman" w:hAnsiTheme="majorBidi" w:cstheme="majorBidi"/>
          <w:b/>
          <w:bCs/>
          <w:color w:val="000000"/>
          <w:sz w:val="28"/>
          <w:szCs w:val="28"/>
          <w:lang w:bidi="ar-EG"/>
        </w:rPr>
        <w:lastRenderedPageBreak/>
        <w:t>Table (7):</w:t>
      </w:r>
      <w:r w:rsidR="00D4209D" w:rsidRPr="00D4209D">
        <w:t xml:space="preserve"> </w:t>
      </w:r>
      <w:r w:rsidR="00D4209D" w:rsidRPr="00D4209D">
        <w:rPr>
          <w:rFonts w:asciiTheme="majorBidi" w:hAnsiTheme="majorBidi" w:cstheme="majorBidi"/>
          <w:sz w:val="28"/>
          <w:szCs w:val="28"/>
        </w:rPr>
        <w:t>Classification of hepatotoxicity according to NCI-CTC v2.0</w:t>
      </w:r>
      <w:r w:rsidR="0043700D">
        <w:rPr>
          <w:rFonts w:asciiTheme="majorBidi" w:hAnsiTheme="majorBidi" w:cstheme="majorBidi"/>
          <w:sz w:val="28"/>
          <w:szCs w:val="28"/>
        </w:rPr>
        <w:t xml:space="preserve"> </w:t>
      </w:r>
      <w:r w:rsidR="0043700D" w:rsidRPr="0043700D">
        <w:rPr>
          <w:rFonts w:asciiTheme="majorBidi" w:hAnsiTheme="majorBidi" w:cstheme="majorBidi"/>
          <w:b/>
          <w:bCs/>
          <w:i/>
          <w:iCs/>
          <w:sz w:val="28"/>
          <w:szCs w:val="28"/>
        </w:rPr>
        <w:t>(</w:t>
      </w:r>
      <w:proofErr w:type="spellStart"/>
      <w:r w:rsidR="0043700D" w:rsidRPr="0043700D">
        <w:rPr>
          <w:rFonts w:asciiTheme="majorBidi" w:hAnsiTheme="majorBidi" w:cstheme="majorBidi"/>
          <w:b/>
          <w:bCs/>
          <w:i/>
          <w:iCs/>
          <w:sz w:val="28"/>
          <w:szCs w:val="28"/>
        </w:rPr>
        <w:t>Beaumais</w:t>
      </w:r>
      <w:proofErr w:type="spellEnd"/>
      <w:r w:rsidR="0043700D" w:rsidRPr="0043700D">
        <w:rPr>
          <w:rFonts w:asciiTheme="majorBidi" w:hAnsiTheme="majorBidi" w:cstheme="majorBidi"/>
          <w:b/>
          <w:bCs/>
          <w:i/>
          <w:iCs/>
          <w:sz w:val="28"/>
          <w:szCs w:val="28"/>
        </w:rPr>
        <w:t xml:space="preserve"> et al., 2010).</w:t>
      </w:r>
      <w:proofErr w:type="gramEnd"/>
      <w:r w:rsidRPr="00D4209D">
        <w:rPr>
          <w:rFonts w:asciiTheme="majorBidi" w:eastAsia="Times New Roman" w:hAnsiTheme="majorBidi" w:cstheme="majorBidi"/>
          <w:b/>
          <w:bCs/>
          <w:color w:val="000000"/>
          <w:sz w:val="28"/>
          <w:szCs w:val="28"/>
          <w:lang w:bidi="ar-EG"/>
        </w:rPr>
        <w:t xml:space="preserve"> </w:t>
      </w:r>
    </w:p>
    <w:tbl>
      <w:tblPr>
        <w:tblStyle w:val="TableGrid"/>
        <w:tblW w:w="9039" w:type="dxa"/>
        <w:tblLook w:val="04A0" w:firstRow="1" w:lastRow="0" w:firstColumn="1" w:lastColumn="0" w:noHBand="0" w:noVBand="1"/>
      </w:tblPr>
      <w:tblGrid>
        <w:gridCol w:w="2604"/>
        <w:gridCol w:w="1072"/>
        <w:gridCol w:w="1072"/>
        <w:gridCol w:w="1382"/>
        <w:gridCol w:w="1228"/>
        <w:gridCol w:w="2020"/>
      </w:tblGrid>
      <w:tr w:rsidR="005F58E6" w:rsidRPr="0043700D" w:rsidTr="007965E5">
        <w:tc>
          <w:tcPr>
            <w:tcW w:w="2351"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Adverse Event</w:t>
            </w:r>
            <w:r w:rsidRPr="0043700D">
              <w:rPr>
                <w:rFonts w:asciiTheme="majorBidi" w:eastAsia="Times New Roman" w:hAnsiTheme="majorBidi" w:cstheme="majorBidi"/>
                <w:b/>
                <w:bCs/>
                <w:color w:val="000000"/>
                <w:sz w:val="28"/>
                <w:szCs w:val="28"/>
                <w:lang w:bidi="ar-EG"/>
              </w:rPr>
              <w:t xml:space="preserve"> grades</w:t>
            </w:r>
          </w:p>
        </w:tc>
        <w:tc>
          <w:tcPr>
            <w:tcW w:w="981"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eastAsia="Times New Roman" w:hAnsiTheme="majorBidi" w:cstheme="majorBidi"/>
                <w:b/>
                <w:bCs/>
                <w:color w:val="000000"/>
                <w:sz w:val="28"/>
                <w:szCs w:val="28"/>
                <w:lang w:bidi="ar-EG"/>
              </w:rPr>
              <w:t>0</w:t>
            </w:r>
          </w:p>
        </w:tc>
        <w:tc>
          <w:tcPr>
            <w:tcW w:w="981"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eastAsia="Times New Roman" w:hAnsiTheme="majorBidi" w:cstheme="majorBidi"/>
                <w:b/>
                <w:bCs/>
                <w:color w:val="000000"/>
                <w:sz w:val="28"/>
                <w:szCs w:val="28"/>
                <w:lang w:bidi="ar-EG"/>
              </w:rPr>
              <w:t>1</w:t>
            </w:r>
          </w:p>
        </w:tc>
        <w:tc>
          <w:tcPr>
            <w:tcW w:w="1259"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eastAsia="Times New Roman" w:hAnsiTheme="majorBidi" w:cstheme="majorBidi"/>
                <w:b/>
                <w:bCs/>
                <w:color w:val="000000"/>
                <w:sz w:val="28"/>
                <w:szCs w:val="28"/>
                <w:lang w:bidi="ar-EG"/>
              </w:rPr>
              <w:t>2</w:t>
            </w:r>
          </w:p>
        </w:tc>
        <w:tc>
          <w:tcPr>
            <w:tcW w:w="1121"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eastAsia="Times New Roman" w:hAnsiTheme="majorBidi" w:cstheme="majorBidi"/>
                <w:b/>
                <w:bCs/>
                <w:color w:val="000000"/>
                <w:sz w:val="28"/>
                <w:szCs w:val="28"/>
                <w:lang w:bidi="ar-EG"/>
              </w:rPr>
              <w:t>3</w:t>
            </w:r>
          </w:p>
        </w:tc>
        <w:tc>
          <w:tcPr>
            <w:tcW w:w="2346"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eastAsia="Times New Roman" w:hAnsiTheme="majorBidi" w:cstheme="majorBidi"/>
                <w:b/>
                <w:bCs/>
                <w:color w:val="000000"/>
                <w:sz w:val="28"/>
                <w:szCs w:val="28"/>
                <w:lang w:bidi="ar-EG"/>
              </w:rPr>
              <w:t>4</w:t>
            </w:r>
          </w:p>
        </w:tc>
      </w:tr>
      <w:tr w:rsidR="005F58E6" w:rsidRPr="0043700D" w:rsidTr="007965E5">
        <w:tc>
          <w:tcPr>
            <w:tcW w:w="9039" w:type="dxa"/>
            <w:gridSpan w:val="6"/>
          </w:tcPr>
          <w:p w:rsidR="005F58E6" w:rsidRPr="0043700D" w:rsidRDefault="005F58E6" w:rsidP="007965E5">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H</w:t>
            </w:r>
            <w:r w:rsidR="007965E5">
              <w:rPr>
                <w:rFonts w:asciiTheme="majorBidi" w:hAnsiTheme="majorBidi" w:cstheme="majorBidi"/>
                <w:b/>
                <w:bCs/>
                <w:sz w:val="28"/>
                <w:szCs w:val="28"/>
              </w:rPr>
              <w:t xml:space="preserve">epatic </w:t>
            </w:r>
          </w:p>
        </w:tc>
      </w:tr>
      <w:tr w:rsidR="005F58E6" w:rsidRPr="0043700D" w:rsidTr="007965E5">
        <w:tc>
          <w:tcPr>
            <w:tcW w:w="235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Alkaline phosphatase</w:t>
            </w:r>
          </w:p>
        </w:tc>
        <w:tc>
          <w:tcPr>
            <w:tcW w:w="98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WNL</w:t>
            </w:r>
          </w:p>
        </w:tc>
        <w:tc>
          <w:tcPr>
            <w:tcW w:w="98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 xml:space="preserve">&gt;ULN – 2.5 </w:t>
            </w:r>
            <w:proofErr w:type="spellStart"/>
            <w:r w:rsidRPr="0043700D">
              <w:rPr>
                <w:rFonts w:asciiTheme="majorBidi" w:hAnsiTheme="majorBidi" w:cstheme="majorBidi"/>
                <w:sz w:val="28"/>
                <w:szCs w:val="28"/>
              </w:rPr>
              <w:t>xULN</w:t>
            </w:r>
            <w:proofErr w:type="spellEnd"/>
          </w:p>
        </w:tc>
        <w:tc>
          <w:tcPr>
            <w:tcW w:w="1259"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 xml:space="preserve">&gt;2.5–5.0 </w:t>
            </w:r>
            <w:proofErr w:type="spellStart"/>
            <w:r w:rsidRPr="0043700D">
              <w:rPr>
                <w:rFonts w:asciiTheme="majorBidi" w:hAnsiTheme="majorBidi" w:cstheme="majorBidi"/>
                <w:sz w:val="28"/>
                <w:szCs w:val="28"/>
              </w:rPr>
              <w:t>xULN</w:t>
            </w:r>
            <w:proofErr w:type="spellEnd"/>
          </w:p>
        </w:tc>
        <w:tc>
          <w:tcPr>
            <w:tcW w:w="112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&gt;5.0–20.0 x ULN</w:t>
            </w:r>
          </w:p>
        </w:tc>
        <w:tc>
          <w:tcPr>
            <w:tcW w:w="2346"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&gt;20.0 x ULN</w:t>
            </w:r>
          </w:p>
        </w:tc>
      </w:tr>
      <w:tr w:rsidR="005F58E6" w:rsidRPr="0043700D" w:rsidTr="007965E5">
        <w:tc>
          <w:tcPr>
            <w:tcW w:w="235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Bilirubin</w:t>
            </w:r>
          </w:p>
        </w:tc>
        <w:tc>
          <w:tcPr>
            <w:tcW w:w="98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WNL</w:t>
            </w:r>
          </w:p>
        </w:tc>
        <w:tc>
          <w:tcPr>
            <w:tcW w:w="98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color w:val="000000"/>
                <w:sz w:val="28"/>
                <w:szCs w:val="28"/>
                <w:lang w:bidi="ar-EG"/>
              </w:rPr>
            </w:pPr>
            <w:r w:rsidRPr="0043700D">
              <w:rPr>
                <w:rFonts w:asciiTheme="majorBidi" w:eastAsia="Times New Roman" w:hAnsiTheme="majorBidi" w:cstheme="majorBidi"/>
                <w:color w:val="000000"/>
                <w:sz w:val="28"/>
                <w:szCs w:val="28"/>
                <w:lang w:bidi="ar-EG"/>
              </w:rPr>
              <w:t>&gt;ULN – 1.5 x ULN</w:t>
            </w:r>
          </w:p>
        </w:tc>
        <w:tc>
          <w:tcPr>
            <w:tcW w:w="1259"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&gt;1.5–3.0 x ULN</w:t>
            </w:r>
          </w:p>
        </w:tc>
        <w:tc>
          <w:tcPr>
            <w:tcW w:w="112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&gt;3.0–10.0 x ULN</w:t>
            </w:r>
          </w:p>
        </w:tc>
        <w:tc>
          <w:tcPr>
            <w:tcW w:w="2346"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&gt;10.0 x ULN</w:t>
            </w:r>
          </w:p>
        </w:tc>
      </w:tr>
      <w:tr w:rsidR="005F58E6" w:rsidRPr="0043700D" w:rsidTr="007965E5">
        <w:tc>
          <w:tcPr>
            <w:tcW w:w="235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GGT (g-</w:t>
            </w:r>
            <w:proofErr w:type="spellStart"/>
            <w:r w:rsidRPr="0043700D">
              <w:rPr>
                <w:rFonts w:asciiTheme="majorBidi" w:hAnsiTheme="majorBidi" w:cstheme="majorBidi"/>
                <w:b/>
                <w:bCs/>
                <w:sz w:val="28"/>
                <w:szCs w:val="28"/>
              </w:rPr>
              <w:t>glutamyl</w:t>
            </w:r>
            <w:proofErr w:type="spellEnd"/>
            <w:r w:rsidRPr="0043700D">
              <w:rPr>
                <w:rFonts w:asciiTheme="majorBidi" w:hAnsiTheme="majorBidi" w:cstheme="majorBidi"/>
                <w:b/>
                <w:bCs/>
                <w:sz w:val="28"/>
                <w:szCs w:val="28"/>
              </w:rPr>
              <w:t xml:space="preserve"> </w:t>
            </w:r>
            <w:proofErr w:type="spellStart"/>
            <w:r w:rsidRPr="0043700D">
              <w:rPr>
                <w:rFonts w:asciiTheme="majorBidi" w:hAnsiTheme="majorBidi" w:cstheme="majorBidi"/>
                <w:b/>
                <w:bCs/>
                <w:sz w:val="28"/>
                <w:szCs w:val="28"/>
              </w:rPr>
              <w:t>transpeptidase</w:t>
            </w:r>
            <w:proofErr w:type="spellEnd"/>
            <w:r w:rsidRPr="0043700D">
              <w:rPr>
                <w:rFonts w:asciiTheme="majorBidi" w:hAnsiTheme="majorBidi" w:cstheme="majorBidi"/>
                <w:b/>
                <w:bCs/>
                <w:sz w:val="28"/>
                <w:szCs w:val="28"/>
              </w:rPr>
              <w:t>)</w:t>
            </w:r>
          </w:p>
        </w:tc>
        <w:tc>
          <w:tcPr>
            <w:tcW w:w="98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WNL</w:t>
            </w:r>
          </w:p>
        </w:tc>
        <w:tc>
          <w:tcPr>
            <w:tcW w:w="98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&gt;ULN – 2.5 x ULN</w:t>
            </w:r>
          </w:p>
        </w:tc>
        <w:tc>
          <w:tcPr>
            <w:tcW w:w="1259"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 xml:space="preserve">&gt;2.5–5.0 </w:t>
            </w:r>
            <w:proofErr w:type="spellStart"/>
            <w:r w:rsidRPr="0043700D">
              <w:rPr>
                <w:rFonts w:asciiTheme="majorBidi" w:hAnsiTheme="majorBidi" w:cstheme="majorBidi"/>
                <w:sz w:val="28"/>
                <w:szCs w:val="28"/>
              </w:rPr>
              <w:t>xULN</w:t>
            </w:r>
            <w:proofErr w:type="spellEnd"/>
          </w:p>
        </w:tc>
        <w:tc>
          <w:tcPr>
            <w:tcW w:w="112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&gt;5.0–20.0 x ULN</w:t>
            </w:r>
          </w:p>
        </w:tc>
        <w:tc>
          <w:tcPr>
            <w:tcW w:w="2346"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&gt;20.0 x ULN</w:t>
            </w:r>
          </w:p>
        </w:tc>
      </w:tr>
      <w:tr w:rsidR="005F58E6" w:rsidRPr="0043700D" w:rsidTr="007965E5">
        <w:tc>
          <w:tcPr>
            <w:tcW w:w="235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Hepatic enlargement</w:t>
            </w:r>
          </w:p>
        </w:tc>
        <w:tc>
          <w:tcPr>
            <w:tcW w:w="98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absent</w:t>
            </w:r>
          </w:p>
        </w:tc>
        <w:tc>
          <w:tcPr>
            <w:tcW w:w="98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absent</w:t>
            </w:r>
          </w:p>
        </w:tc>
        <w:tc>
          <w:tcPr>
            <w:tcW w:w="1259"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absent</w:t>
            </w:r>
          </w:p>
        </w:tc>
        <w:tc>
          <w:tcPr>
            <w:tcW w:w="112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present</w:t>
            </w:r>
          </w:p>
        </w:tc>
        <w:tc>
          <w:tcPr>
            <w:tcW w:w="2346"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present</w:t>
            </w:r>
          </w:p>
        </w:tc>
      </w:tr>
      <w:tr w:rsidR="005F58E6" w:rsidTr="007965E5">
        <w:tc>
          <w:tcPr>
            <w:tcW w:w="2351" w:type="dxa"/>
          </w:tcPr>
          <w:p w:rsidR="005F58E6" w:rsidRPr="0043700D" w:rsidRDefault="0009460C" w:rsidP="007965E5">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spellStart"/>
            <w:r w:rsidRPr="0043700D">
              <w:rPr>
                <w:rFonts w:asciiTheme="majorBidi" w:hAnsiTheme="majorBidi" w:cstheme="majorBidi"/>
                <w:b/>
                <w:bCs/>
                <w:sz w:val="28"/>
                <w:szCs w:val="28"/>
              </w:rPr>
              <w:t>Hypoalbuminae</w:t>
            </w:r>
            <w:r w:rsidR="007965E5">
              <w:rPr>
                <w:rFonts w:asciiTheme="majorBidi" w:hAnsiTheme="majorBidi" w:cstheme="majorBidi"/>
                <w:b/>
                <w:bCs/>
                <w:sz w:val="28"/>
                <w:szCs w:val="28"/>
              </w:rPr>
              <w:t>-</w:t>
            </w:r>
            <w:r w:rsidRPr="0043700D">
              <w:rPr>
                <w:rFonts w:asciiTheme="majorBidi" w:hAnsiTheme="majorBidi" w:cstheme="majorBidi"/>
                <w:b/>
                <w:bCs/>
                <w:sz w:val="28"/>
                <w:szCs w:val="28"/>
              </w:rPr>
              <w:t>mia</w:t>
            </w:r>
            <w:proofErr w:type="spellEnd"/>
          </w:p>
        </w:tc>
        <w:tc>
          <w:tcPr>
            <w:tcW w:w="98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WNL</w:t>
            </w:r>
          </w:p>
        </w:tc>
        <w:tc>
          <w:tcPr>
            <w:tcW w:w="981"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
        </w:tc>
        <w:tc>
          <w:tcPr>
            <w:tcW w:w="1259"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
        </w:tc>
        <w:tc>
          <w:tcPr>
            <w:tcW w:w="1121"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
        </w:tc>
        <w:tc>
          <w:tcPr>
            <w:tcW w:w="2346" w:type="dxa"/>
          </w:tcPr>
          <w:p w:rsidR="005F58E6" w:rsidRPr="0043700D" w:rsidRDefault="005F58E6"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
        </w:tc>
      </w:tr>
      <w:tr w:rsidR="005F58E6" w:rsidTr="007965E5">
        <w:tc>
          <w:tcPr>
            <w:tcW w:w="235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Liver dysfunction/failure (clinical)</w:t>
            </w:r>
          </w:p>
        </w:tc>
        <w:tc>
          <w:tcPr>
            <w:tcW w:w="98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Norma</w:t>
            </w:r>
            <w:r w:rsidRPr="0043700D">
              <w:rPr>
                <w:rFonts w:asciiTheme="majorBidi" w:eastAsia="Times New Roman" w:hAnsiTheme="majorBidi" w:cstheme="majorBidi"/>
                <w:color w:val="000000"/>
                <w:sz w:val="28"/>
                <w:szCs w:val="28"/>
                <w:lang w:bidi="ar-EG"/>
              </w:rPr>
              <w:t>l</w:t>
            </w:r>
          </w:p>
        </w:tc>
        <w:tc>
          <w:tcPr>
            <w:tcW w:w="981" w:type="dxa"/>
          </w:tcPr>
          <w:p w:rsidR="005F58E6" w:rsidRPr="0043700D" w:rsidRDefault="0009460C" w:rsidP="0009460C">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Norma</w:t>
            </w:r>
            <w:r w:rsidRPr="0043700D">
              <w:rPr>
                <w:rFonts w:asciiTheme="majorBidi" w:eastAsia="Times New Roman" w:hAnsiTheme="majorBidi" w:cstheme="majorBidi"/>
                <w:color w:val="000000"/>
                <w:sz w:val="28"/>
                <w:szCs w:val="28"/>
                <w:lang w:bidi="ar-EG"/>
              </w:rPr>
              <w:t>l</w:t>
            </w:r>
          </w:p>
        </w:tc>
        <w:tc>
          <w:tcPr>
            <w:tcW w:w="1259"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Norma</w:t>
            </w:r>
            <w:r w:rsidRPr="0043700D">
              <w:rPr>
                <w:rFonts w:asciiTheme="majorBidi" w:eastAsia="Times New Roman" w:hAnsiTheme="majorBidi" w:cstheme="majorBidi"/>
                <w:color w:val="000000"/>
                <w:sz w:val="28"/>
                <w:szCs w:val="28"/>
                <w:lang w:bidi="ar-EG"/>
              </w:rPr>
              <w:t>l</w:t>
            </w:r>
          </w:p>
        </w:tc>
        <w:tc>
          <w:tcPr>
            <w:tcW w:w="1121"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proofErr w:type="spellStart"/>
            <w:r w:rsidRPr="0043700D">
              <w:rPr>
                <w:rFonts w:asciiTheme="majorBidi" w:hAnsiTheme="majorBidi" w:cstheme="majorBidi"/>
                <w:sz w:val="28"/>
                <w:szCs w:val="28"/>
              </w:rPr>
              <w:t>Asterixis</w:t>
            </w:r>
            <w:proofErr w:type="spellEnd"/>
          </w:p>
        </w:tc>
        <w:tc>
          <w:tcPr>
            <w:tcW w:w="2346" w:type="dxa"/>
          </w:tcPr>
          <w:p w:rsidR="005F58E6" w:rsidRPr="0043700D" w:rsidRDefault="0009460C"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Encephalopathy or coma</w:t>
            </w:r>
          </w:p>
        </w:tc>
      </w:tr>
      <w:tr w:rsidR="005E443F" w:rsidTr="007965E5">
        <w:tc>
          <w:tcPr>
            <w:tcW w:w="2351" w:type="dxa"/>
          </w:tcPr>
          <w:p w:rsidR="005E443F" w:rsidRPr="0043700D" w:rsidRDefault="005E443F"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Portal vein flow</w:t>
            </w:r>
          </w:p>
        </w:tc>
        <w:tc>
          <w:tcPr>
            <w:tcW w:w="981" w:type="dxa"/>
          </w:tcPr>
          <w:p w:rsidR="005E443F" w:rsidRPr="0043700D" w:rsidRDefault="005E443F" w:rsidP="00002EE6">
            <w:pPr>
              <w:bidi w:val="0"/>
              <w:spacing w:before="100" w:beforeAutospacing="1" w:after="100" w:afterAutospacing="1" w:line="360" w:lineRule="auto"/>
              <w:rPr>
                <w:rFonts w:asciiTheme="majorBidi" w:eastAsia="Times New Roman" w:hAnsiTheme="majorBidi" w:cstheme="majorBidi"/>
                <w:color w:val="000000"/>
                <w:sz w:val="28"/>
                <w:szCs w:val="28"/>
                <w:lang w:bidi="ar-EG"/>
              </w:rPr>
            </w:pPr>
            <w:r w:rsidRPr="0043700D">
              <w:rPr>
                <w:rFonts w:asciiTheme="majorBidi" w:hAnsiTheme="majorBidi" w:cstheme="majorBidi"/>
                <w:sz w:val="28"/>
                <w:szCs w:val="28"/>
              </w:rPr>
              <w:t>Norma</w:t>
            </w:r>
            <w:r w:rsidRPr="0043700D">
              <w:rPr>
                <w:rFonts w:asciiTheme="majorBidi" w:eastAsia="Times New Roman" w:hAnsiTheme="majorBidi" w:cstheme="majorBidi"/>
                <w:color w:val="000000"/>
                <w:sz w:val="28"/>
                <w:szCs w:val="28"/>
                <w:lang w:bidi="ar-EG"/>
              </w:rPr>
              <w:t>l</w:t>
            </w:r>
          </w:p>
        </w:tc>
        <w:tc>
          <w:tcPr>
            <w:tcW w:w="981" w:type="dxa"/>
          </w:tcPr>
          <w:p w:rsidR="005E443F" w:rsidRPr="0043700D" w:rsidRDefault="005E443F"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Norma</w:t>
            </w:r>
            <w:r w:rsidRPr="0043700D">
              <w:rPr>
                <w:rFonts w:asciiTheme="majorBidi" w:eastAsia="Times New Roman" w:hAnsiTheme="majorBidi" w:cstheme="majorBidi"/>
                <w:color w:val="000000"/>
                <w:sz w:val="28"/>
                <w:szCs w:val="28"/>
                <w:lang w:bidi="ar-EG"/>
              </w:rPr>
              <w:t>l</w:t>
            </w:r>
          </w:p>
        </w:tc>
        <w:tc>
          <w:tcPr>
            <w:tcW w:w="1259" w:type="dxa"/>
          </w:tcPr>
          <w:p w:rsidR="005E443F" w:rsidRPr="0043700D" w:rsidRDefault="005E443F"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Decreased portal vein flow</w:t>
            </w:r>
          </w:p>
        </w:tc>
        <w:tc>
          <w:tcPr>
            <w:tcW w:w="3467" w:type="dxa"/>
            <w:gridSpan w:val="2"/>
          </w:tcPr>
          <w:p w:rsidR="005E443F" w:rsidRPr="0043700D" w:rsidRDefault="005E443F"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Reversal/retrograde portal vein flow</w:t>
            </w:r>
          </w:p>
        </w:tc>
      </w:tr>
      <w:tr w:rsidR="005F58E6" w:rsidTr="007965E5">
        <w:tc>
          <w:tcPr>
            <w:tcW w:w="2351" w:type="dxa"/>
          </w:tcPr>
          <w:p w:rsidR="005F58E6" w:rsidRPr="0043700D" w:rsidRDefault="005E443F"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SGOT (AST</w:t>
            </w:r>
            <w:r w:rsidR="0043700D" w:rsidRPr="0043700D">
              <w:rPr>
                <w:rFonts w:asciiTheme="majorBidi" w:hAnsiTheme="majorBidi" w:cstheme="majorBidi"/>
                <w:b/>
                <w:bCs/>
                <w:sz w:val="28"/>
                <w:szCs w:val="28"/>
              </w:rPr>
              <w:t>)</w:t>
            </w:r>
          </w:p>
        </w:tc>
        <w:tc>
          <w:tcPr>
            <w:tcW w:w="981" w:type="dxa"/>
          </w:tcPr>
          <w:p w:rsidR="005F58E6" w:rsidRPr="0043700D" w:rsidRDefault="005E443F"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WNL</w:t>
            </w:r>
          </w:p>
        </w:tc>
        <w:tc>
          <w:tcPr>
            <w:tcW w:w="981" w:type="dxa"/>
          </w:tcPr>
          <w:p w:rsidR="005F58E6" w:rsidRPr="0043700D" w:rsidRDefault="008B2194"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&gt;ULN – 2.5</w:t>
            </w:r>
            <w:r w:rsidR="0043700D" w:rsidRPr="0043700D">
              <w:rPr>
                <w:rFonts w:asciiTheme="majorBidi" w:hAnsiTheme="majorBidi" w:cstheme="majorBidi"/>
                <w:sz w:val="28"/>
                <w:szCs w:val="28"/>
              </w:rPr>
              <w:t>x</w:t>
            </w:r>
            <w:r w:rsidRPr="0043700D">
              <w:rPr>
                <w:rFonts w:asciiTheme="majorBidi" w:hAnsiTheme="majorBidi" w:cstheme="majorBidi"/>
                <w:sz w:val="28"/>
                <w:szCs w:val="28"/>
              </w:rPr>
              <w:t xml:space="preserve"> ULN</w:t>
            </w:r>
          </w:p>
        </w:tc>
        <w:tc>
          <w:tcPr>
            <w:tcW w:w="1259"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&gt;2.5–5.0 x ULN</w:t>
            </w:r>
          </w:p>
        </w:tc>
        <w:tc>
          <w:tcPr>
            <w:tcW w:w="1121"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&gt;5.0–20.0 x ULN</w:t>
            </w:r>
          </w:p>
        </w:tc>
        <w:tc>
          <w:tcPr>
            <w:tcW w:w="2346"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&gt;20.0 x ULN</w:t>
            </w:r>
          </w:p>
        </w:tc>
      </w:tr>
      <w:tr w:rsidR="005F58E6" w:rsidTr="007965E5">
        <w:tc>
          <w:tcPr>
            <w:tcW w:w="2351"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t>SGPT</w:t>
            </w:r>
          </w:p>
        </w:tc>
        <w:tc>
          <w:tcPr>
            <w:tcW w:w="981"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WNL</w:t>
            </w:r>
          </w:p>
        </w:tc>
        <w:tc>
          <w:tcPr>
            <w:tcW w:w="981"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 xml:space="preserve">&gt;ULN </w:t>
            </w:r>
            <w:r w:rsidRPr="0043700D">
              <w:rPr>
                <w:rFonts w:asciiTheme="majorBidi" w:hAnsiTheme="majorBidi" w:cstheme="majorBidi"/>
                <w:sz w:val="28"/>
                <w:szCs w:val="28"/>
              </w:rPr>
              <w:lastRenderedPageBreak/>
              <w:t>– 2.5x ULN</w:t>
            </w:r>
          </w:p>
        </w:tc>
        <w:tc>
          <w:tcPr>
            <w:tcW w:w="1259"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lastRenderedPageBreak/>
              <w:t xml:space="preserve">&gt;2.5–5.0 </w:t>
            </w:r>
            <w:r w:rsidRPr="0043700D">
              <w:rPr>
                <w:rFonts w:asciiTheme="majorBidi" w:hAnsiTheme="majorBidi" w:cstheme="majorBidi"/>
                <w:sz w:val="28"/>
                <w:szCs w:val="28"/>
              </w:rPr>
              <w:lastRenderedPageBreak/>
              <w:t>x ULN</w:t>
            </w:r>
          </w:p>
        </w:tc>
        <w:tc>
          <w:tcPr>
            <w:tcW w:w="1121"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lastRenderedPageBreak/>
              <w:t>&gt;5.0–</w:t>
            </w:r>
            <w:r w:rsidRPr="0043700D">
              <w:rPr>
                <w:rFonts w:asciiTheme="majorBidi" w:hAnsiTheme="majorBidi" w:cstheme="majorBidi"/>
                <w:sz w:val="28"/>
                <w:szCs w:val="28"/>
              </w:rPr>
              <w:lastRenderedPageBreak/>
              <w:t>20.0 x ULN</w:t>
            </w:r>
          </w:p>
        </w:tc>
        <w:tc>
          <w:tcPr>
            <w:tcW w:w="2346" w:type="dxa"/>
          </w:tcPr>
          <w:p w:rsidR="005F58E6" w:rsidRPr="0043700D" w:rsidRDefault="0043700D" w:rsidP="0043700D">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lastRenderedPageBreak/>
              <w:t>&gt;20.0 x ULN</w:t>
            </w:r>
          </w:p>
        </w:tc>
      </w:tr>
      <w:tr w:rsidR="005F58E6" w:rsidTr="007965E5">
        <w:tc>
          <w:tcPr>
            <w:tcW w:w="2351"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b/>
                <w:bCs/>
                <w:sz w:val="28"/>
                <w:szCs w:val="28"/>
              </w:rPr>
              <w:lastRenderedPageBreak/>
              <w:t>Hepatic – Other (Specify,_________)</w:t>
            </w:r>
          </w:p>
        </w:tc>
        <w:tc>
          <w:tcPr>
            <w:tcW w:w="981"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None</w:t>
            </w:r>
          </w:p>
        </w:tc>
        <w:tc>
          <w:tcPr>
            <w:tcW w:w="981"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Mild</w:t>
            </w:r>
          </w:p>
        </w:tc>
        <w:tc>
          <w:tcPr>
            <w:tcW w:w="1259"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Moderate</w:t>
            </w:r>
          </w:p>
        </w:tc>
        <w:tc>
          <w:tcPr>
            <w:tcW w:w="1121"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Severe</w:t>
            </w:r>
          </w:p>
        </w:tc>
        <w:tc>
          <w:tcPr>
            <w:tcW w:w="2346" w:type="dxa"/>
          </w:tcPr>
          <w:p w:rsidR="005F58E6" w:rsidRPr="0043700D" w:rsidRDefault="0043700D" w:rsidP="00002EE6">
            <w:pPr>
              <w:bidi w:val="0"/>
              <w:spacing w:before="100" w:beforeAutospacing="1" w:after="100" w:afterAutospacing="1" w:line="360" w:lineRule="auto"/>
              <w:rPr>
                <w:rFonts w:asciiTheme="majorBidi" w:eastAsia="Times New Roman" w:hAnsiTheme="majorBidi" w:cstheme="majorBidi"/>
                <w:b/>
                <w:bCs/>
                <w:color w:val="000000"/>
                <w:sz w:val="28"/>
                <w:szCs w:val="28"/>
                <w:lang w:bidi="ar-EG"/>
              </w:rPr>
            </w:pPr>
            <w:r w:rsidRPr="0043700D">
              <w:rPr>
                <w:rFonts w:asciiTheme="majorBidi" w:hAnsiTheme="majorBidi" w:cstheme="majorBidi"/>
                <w:sz w:val="28"/>
                <w:szCs w:val="28"/>
              </w:rPr>
              <w:t>Life-threatening or disabling</w:t>
            </w:r>
          </w:p>
        </w:tc>
      </w:tr>
    </w:tbl>
    <w:p w:rsidR="000C5687" w:rsidRDefault="001744A9" w:rsidP="005F58E6">
      <w:pPr>
        <w:bidi w:val="0"/>
        <w:spacing w:before="100" w:beforeAutospacing="1" w:after="100" w:afterAutospacing="1" w:line="360" w:lineRule="auto"/>
        <w:jc w:val="both"/>
        <w:rPr>
          <w:rFonts w:asciiTheme="majorBidi" w:hAnsiTheme="majorBidi" w:cstheme="majorBidi"/>
          <w:b/>
          <w:bCs/>
          <w:i/>
          <w:iCs/>
          <w:sz w:val="28"/>
          <w:szCs w:val="28"/>
        </w:rPr>
      </w:pPr>
      <w:r>
        <w:rPr>
          <w:rFonts w:asciiTheme="majorBidi" w:hAnsiTheme="majorBidi" w:cstheme="majorBidi"/>
          <w:b/>
          <w:bCs/>
          <w:sz w:val="28"/>
          <w:szCs w:val="28"/>
        </w:rPr>
        <w:t>1-</w:t>
      </w:r>
      <w:r w:rsidR="000C5687" w:rsidRPr="000C5687">
        <w:rPr>
          <w:rFonts w:asciiTheme="majorBidi" w:hAnsiTheme="majorBidi" w:cstheme="majorBidi"/>
          <w:b/>
          <w:bCs/>
          <w:sz w:val="28"/>
          <w:szCs w:val="28"/>
        </w:rPr>
        <w:t>Thiopurine S-methyltransferase (TPMT)</w:t>
      </w:r>
      <w:r w:rsidR="000C5687" w:rsidRPr="000C5687">
        <w:rPr>
          <w:rFonts w:asciiTheme="majorBidi" w:eastAsia="Times New Roman" w:hAnsiTheme="majorBidi" w:cstheme="majorBidi"/>
          <w:b/>
          <w:bCs/>
          <w:color w:val="000000"/>
          <w:sz w:val="28"/>
          <w:szCs w:val="28"/>
          <w:lang w:bidi="ar-EG"/>
        </w:rPr>
        <w:t>:</w:t>
      </w:r>
    </w:p>
    <w:p w:rsidR="007965E5" w:rsidRPr="007965E5" w:rsidRDefault="000C5687" w:rsidP="007965E5">
      <w:pPr>
        <w:bidi w:val="0"/>
        <w:spacing w:before="100" w:beforeAutospacing="1" w:after="100" w:afterAutospacing="1" w:line="360" w:lineRule="auto"/>
        <w:jc w:val="both"/>
        <w:rPr>
          <w:noProof/>
          <w:color w:val="0000FF"/>
        </w:rPr>
      </w:pPr>
      <w:r>
        <w:t xml:space="preserve">    </w:t>
      </w:r>
      <w:r w:rsidR="0020734F">
        <w:t xml:space="preserve">   </w:t>
      </w:r>
      <w:r>
        <w:t xml:space="preserve"> </w:t>
      </w:r>
      <w:proofErr w:type="spellStart"/>
      <w:r w:rsidRPr="000C5687">
        <w:rPr>
          <w:rFonts w:asciiTheme="majorBidi" w:hAnsiTheme="majorBidi" w:cstheme="majorBidi"/>
          <w:sz w:val="28"/>
          <w:szCs w:val="28"/>
        </w:rPr>
        <w:t>Thiopurine</w:t>
      </w:r>
      <w:proofErr w:type="spellEnd"/>
      <w:r w:rsidRPr="000C5687">
        <w:rPr>
          <w:rFonts w:asciiTheme="majorBidi" w:hAnsiTheme="majorBidi" w:cstheme="majorBidi"/>
          <w:sz w:val="28"/>
          <w:szCs w:val="28"/>
        </w:rPr>
        <w:t xml:space="preserve"> S-methyltransferase (TPMT) is an important cytoplasmic enzyme that </w:t>
      </w:r>
      <w:proofErr w:type="spellStart"/>
      <w:r w:rsidRPr="000C5687">
        <w:rPr>
          <w:rFonts w:asciiTheme="majorBidi" w:hAnsiTheme="majorBidi" w:cstheme="majorBidi"/>
          <w:sz w:val="28"/>
          <w:szCs w:val="28"/>
        </w:rPr>
        <w:t>catalyses</w:t>
      </w:r>
      <w:proofErr w:type="spellEnd"/>
      <w:r w:rsidRPr="000C5687">
        <w:rPr>
          <w:rFonts w:asciiTheme="majorBidi" w:hAnsiTheme="majorBidi" w:cstheme="majorBidi"/>
          <w:sz w:val="28"/>
          <w:szCs w:val="28"/>
        </w:rPr>
        <w:t xml:space="preserve"> the rate-limiting step in the metabolism of </w:t>
      </w:r>
      <w:proofErr w:type="spellStart"/>
      <w:r w:rsidRPr="000C5687">
        <w:rPr>
          <w:rFonts w:asciiTheme="majorBidi" w:hAnsiTheme="majorBidi" w:cstheme="majorBidi"/>
          <w:sz w:val="28"/>
          <w:szCs w:val="28"/>
        </w:rPr>
        <w:t>thiopurine</w:t>
      </w:r>
      <w:proofErr w:type="spellEnd"/>
      <w:r w:rsidRPr="000C5687">
        <w:rPr>
          <w:rFonts w:asciiTheme="majorBidi" w:hAnsiTheme="majorBidi" w:cstheme="majorBidi"/>
          <w:sz w:val="28"/>
          <w:szCs w:val="28"/>
        </w:rPr>
        <w:t xml:space="preserve"> drugs. It is coded by the TPMT gene and exerts its effect via S-</w:t>
      </w:r>
      <w:proofErr w:type="spellStart"/>
      <w:r w:rsidRPr="000C5687">
        <w:rPr>
          <w:rFonts w:asciiTheme="majorBidi" w:hAnsiTheme="majorBidi" w:cstheme="majorBidi"/>
          <w:sz w:val="28"/>
          <w:szCs w:val="28"/>
        </w:rPr>
        <w:t>adenosyl</w:t>
      </w:r>
      <w:proofErr w:type="spellEnd"/>
      <w:r w:rsidRPr="000C5687">
        <w:rPr>
          <w:rFonts w:asciiTheme="majorBidi" w:hAnsiTheme="majorBidi" w:cstheme="majorBidi"/>
          <w:sz w:val="28"/>
          <w:szCs w:val="28"/>
        </w:rPr>
        <w:t>-L-methionine as the S-methyl donor and S-</w:t>
      </w:r>
      <w:proofErr w:type="spellStart"/>
      <w:r w:rsidRPr="000C5687">
        <w:rPr>
          <w:rFonts w:asciiTheme="majorBidi" w:hAnsiTheme="majorBidi" w:cstheme="majorBidi"/>
          <w:sz w:val="28"/>
          <w:szCs w:val="28"/>
        </w:rPr>
        <w:t>adenosyl</w:t>
      </w:r>
      <w:proofErr w:type="spellEnd"/>
      <w:r w:rsidRPr="000C5687">
        <w:rPr>
          <w:rFonts w:asciiTheme="majorBidi" w:hAnsiTheme="majorBidi" w:cstheme="majorBidi"/>
          <w:sz w:val="28"/>
          <w:szCs w:val="28"/>
        </w:rPr>
        <w:t xml:space="preserve">-L-homocysteine as a by-product. </w:t>
      </w:r>
      <w:proofErr w:type="spellStart"/>
      <w:r w:rsidRPr="000C5687">
        <w:rPr>
          <w:rFonts w:asciiTheme="majorBidi" w:hAnsiTheme="majorBidi" w:cstheme="majorBidi"/>
          <w:sz w:val="28"/>
          <w:szCs w:val="28"/>
        </w:rPr>
        <w:t>Thiopurine</w:t>
      </w:r>
      <w:proofErr w:type="spellEnd"/>
      <w:r w:rsidRPr="000C5687">
        <w:rPr>
          <w:rFonts w:asciiTheme="majorBidi" w:hAnsiTheme="majorBidi" w:cstheme="majorBidi"/>
          <w:sz w:val="28"/>
          <w:szCs w:val="28"/>
        </w:rPr>
        <w:t xml:space="preserve"> drugs, mainly 6-mercaptopurine (6-MP), and its prodrug azathioprine (AZA), are implicated as antimetabolite cytotoxic and immunosuppressive agents in the treatment of malignancies such as acute lymphoblastic leukemia (A</w:t>
      </w:r>
      <w:r w:rsidR="00543A4A" w:rsidRPr="00543A4A">
        <w:rPr>
          <w:rFonts w:asciiTheme="majorBidi" w:hAnsiTheme="majorBidi" w:cstheme="majorBidi"/>
          <w:sz w:val="28"/>
          <w:szCs w:val="28"/>
        </w:rPr>
        <w:t xml:space="preserve"> </w:t>
      </w:r>
      <w:r w:rsidR="00543A4A" w:rsidRPr="000C5687">
        <w:rPr>
          <w:rFonts w:asciiTheme="majorBidi" w:hAnsiTheme="majorBidi" w:cstheme="majorBidi"/>
          <w:sz w:val="28"/>
          <w:szCs w:val="28"/>
        </w:rPr>
        <w:t>LL)</w:t>
      </w:r>
      <w:r w:rsidR="00181D2E">
        <w:rPr>
          <w:rFonts w:asciiTheme="majorBidi" w:hAnsiTheme="majorBidi" w:cstheme="majorBidi"/>
          <w:sz w:val="28"/>
          <w:szCs w:val="28"/>
        </w:rPr>
        <w:t xml:space="preserve"> </w:t>
      </w:r>
      <w:r w:rsidR="00181D2E" w:rsidRPr="00181D2E">
        <w:rPr>
          <w:rFonts w:asciiTheme="majorBidi" w:hAnsiTheme="majorBidi" w:cstheme="majorBidi"/>
          <w:b/>
          <w:bCs/>
          <w:i/>
          <w:iCs/>
          <w:sz w:val="28"/>
          <w:szCs w:val="28"/>
        </w:rPr>
        <w:t>(</w:t>
      </w:r>
      <w:proofErr w:type="spellStart"/>
      <w:r w:rsidR="00181D2E" w:rsidRPr="00181D2E">
        <w:rPr>
          <w:rFonts w:asciiTheme="majorBidi" w:hAnsiTheme="majorBidi" w:cstheme="majorBidi"/>
          <w:b/>
          <w:bCs/>
          <w:i/>
          <w:iCs/>
          <w:sz w:val="28"/>
          <w:szCs w:val="28"/>
        </w:rPr>
        <w:t>Kotur</w:t>
      </w:r>
      <w:proofErr w:type="spellEnd"/>
      <w:r w:rsidR="00181D2E" w:rsidRPr="00181D2E">
        <w:rPr>
          <w:rFonts w:asciiTheme="majorBidi" w:hAnsiTheme="majorBidi" w:cstheme="majorBidi"/>
          <w:b/>
          <w:bCs/>
          <w:i/>
          <w:iCs/>
          <w:sz w:val="28"/>
          <w:szCs w:val="28"/>
        </w:rPr>
        <w:t xml:space="preserve"> et al., 2015)</w:t>
      </w:r>
      <w:r w:rsidR="00543A4A" w:rsidRPr="00181D2E">
        <w:rPr>
          <w:rFonts w:asciiTheme="majorBidi" w:hAnsiTheme="majorBidi" w:cstheme="majorBidi"/>
          <w:b/>
          <w:bCs/>
          <w:i/>
          <w:iCs/>
          <w:sz w:val="28"/>
          <w:szCs w:val="28"/>
        </w:rPr>
        <w:t>.</w:t>
      </w:r>
      <w:r w:rsidR="007965E5" w:rsidRPr="007965E5">
        <w:rPr>
          <w:noProof/>
          <w:color w:val="0000FF"/>
        </w:rPr>
        <w:t xml:space="preserve"> </w:t>
      </w:r>
    </w:p>
    <w:p w:rsidR="00543A4A" w:rsidRDefault="007965E5" w:rsidP="007965E5">
      <w:pPr>
        <w:bidi w:val="0"/>
        <w:spacing w:before="100" w:beforeAutospacing="1" w:after="100" w:afterAutospacing="1" w:line="360" w:lineRule="auto"/>
        <w:jc w:val="both"/>
        <w:rPr>
          <w:rFonts w:asciiTheme="majorBidi" w:hAnsiTheme="majorBidi" w:cstheme="majorBidi"/>
          <w:b/>
          <w:bCs/>
          <w:i/>
          <w:iCs/>
          <w:sz w:val="28"/>
          <w:szCs w:val="28"/>
        </w:rPr>
      </w:pPr>
      <w:r>
        <w:rPr>
          <w:noProof/>
          <w:color w:val="0000FF"/>
        </w:rPr>
        <w:drawing>
          <wp:inline distT="0" distB="0" distL="0" distR="0" wp14:anchorId="4BE8EE7F" wp14:editId="42125BA6">
            <wp:extent cx="4267200" cy="2000250"/>
            <wp:effectExtent l="76200" t="76200" r="133350" b="133350"/>
            <wp:docPr id="7" name="irc_mi" descr="نتيجة بحث الصور عن ‪Structures of 6-MP and thioguanine in comparison t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Structures of 6-MP and thioguanine in comparison t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0"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965E5" w:rsidRDefault="00181D2E" w:rsidP="00053390">
      <w:pPr>
        <w:bidi w:val="0"/>
        <w:spacing w:before="100" w:beforeAutospacing="1" w:after="100" w:afterAutospacing="1" w:line="360" w:lineRule="auto"/>
        <w:jc w:val="both"/>
        <w:rPr>
          <w:rFonts w:asciiTheme="majorBidi" w:hAnsiTheme="majorBidi" w:cstheme="majorBidi"/>
          <w:sz w:val="28"/>
          <w:szCs w:val="28"/>
        </w:rPr>
      </w:pPr>
      <w:r w:rsidRPr="00544FE4">
        <w:rPr>
          <w:rFonts w:asciiTheme="majorBidi" w:hAnsiTheme="majorBidi" w:cstheme="majorBidi"/>
          <w:sz w:val="28"/>
          <w:szCs w:val="28"/>
        </w:rPr>
        <w:t xml:space="preserve">  </w:t>
      </w:r>
      <w:r w:rsidR="007965E5" w:rsidRPr="00E76DAF">
        <w:rPr>
          <w:rFonts w:asciiTheme="majorBidi" w:hAnsiTheme="majorBidi" w:cstheme="majorBidi"/>
          <w:b/>
          <w:bCs/>
          <w:sz w:val="28"/>
          <w:szCs w:val="28"/>
        </w:rPr>
        <w:t>Figure (</w:t>
      </w:r>
      <w:r w:rsidR="00053390">
        <w:rPr>
          <w:rFonts w:asciiTheme="majorBidi" w:hAnsiTheme="majorBidi" w:cstheme="majorBidi"/>
          <w:b/>
          <w:bCs/>
          <w:sz w:val="28"/>
          <w:szCs w:val="28"/>
        </w:rPr>
        <w:t>7</w:t>
      </w:r>
      <w:r w:rsidR="007965E5" w:rsidRPr="00E76DAF">
        <w:rPr>
          <w:rFonts w:asciiTheme="majorBidi" w:hAnsiTheme="majorBidi" w:cstheme="majorBidi"/>
          <w:b/>
          <w:bCs/>
          <w:sz w:val="28"/>
          <w:szCs w:val="28"/>
        </w:rPr>
        <w:t xml:space="preserve">): </w:t>
      </w:r>
      <w:r w:rsidR="007965E5">
        <w:rPr>
          <w:rFonts w:asciiTheme="majorBidi" w:hAnsiTheme="majorBidi" w:cstheme="majorBidi"/>
          <w:b/>
          <w:bCs/>
          <w:sz w:val="28"/>
          <w:szCs w:val="28"/>
        </w:rPr>
        <w:t xml:space="preserve"> </w:t>
      </w:r>
      <w:r w:rsidR="007965E5" w:rsidRPr="00123EF4">
        <w:rPr>
          <w:rFonts w:asciiTheme="majorBidi" w:hAnsiTheme="majorBidi" w:cstheme="majorBidi"/>
          <w:sz w:val="28"/>
          <w:szCs w:val="28"/>
        </w:rPr>
        <w:t xml:space="preserve">Structures of 6-MP and </w:t>
      </w:r>
      <w:proofErr w:type="spellStart"/>
      <w:r w:rsidR="007965E5" w:rsidRPr="00123EF4">
        <w:rPr>
          <w:rFonts w:asciiTheme="majorBidi" w:hAnsiTheme="majorBidi" w:cstheme="majorBidi"/>
          <w:sz w:val="28"/>
          <w:szCs w:val="28"/>
        </w:rPr>
        <w:t>thioguanine</w:t>
      </w:r>
      <w:proofErr w:type="spellEnd"/>
      <w:r w:rsidR="007965E5" w:rsidRPr="00E76DAF">
        <w:rPr>
          <w:rFonts w:asciiTheme="majorBidi" w:hAnsiTheme="majorBidi" w:cstheme="majorBidi"/>
          <w:b/>
          <w:bCs/>
          <w:sz w:val="28"/>
          <w:szCs w:val="28"/>
        </w:rPr>
        <w:t xml:space="preserve"> </w:t>
      </w:r>
      <w:r w:rsidR="007965E5" w:rsidRPr="00E76DAF">
        <w:rPr>
          <w:rFonts w:asciiTheme="majorBidi" w:hAnsiTheme="majorBidi" w:cstheme="majorBidi"/>
          <w:b/>
          <w:bCs/>
          <w:i/>
          <w:iCs/>
          <w:sz w:val="28"/>
          <w:szCs w:val="28"/>
        </w:rPr>
        <w:t>(Zhou et al., 2006).</w:t>
      </w:r>
      <w:r w:rsidRPr="00544FE4">
        <w:rPr>
          <w:rFonts w:asciiTheme="majorBidi" w:hAnsiTheme="majorBidi" w:cstheme="majorBidi"/>
          <w:sz w:val="28"/>
          <w:szCs w:val="28"/>
        </w:rPr>
        <w:t xml:space="preserve">     </w:t>
      </w:r>
    </w:p>
    <w:p w:rsidR="007965E5" w:rsidRDefault="007965E5" w:rsidP="007965E5">
      <w:pPr>
        <w:bidi w:val="0"/>
        <w:spacing w:before="100" w:beforeAutospacing="1" w:after="100" w:afterAutospacing="1" w:line="360" w:lineRule="auto"/>
        <w:jc w:val="both"/>
        <w:rPr>
          <w:rFonts w:asciiTheme="majorBidi" w:hAnsiTheme="majorBidi" w:cstheme="majorBidi"/>
          <w:sz w:val="28"/>
          <w:szCs w:val="28"/>
        </w:rPr>
      </w:pPr>
    </w:p>
    <w:p w:rsidR="00610FDC" w:rsidRDefault="00610FDC" w:rsidP="007965E5">
      <w:pPr>
        <w:bidi w:val="0"/>
        <w:spacing w:before="100" w:beforeAutospacing="1" w:after="100" w:afterAutospacing="1" w:line="360" w:lineRule="auto"/>
        <w:jc w:val="both"/>
        <w:rPr>
          <w:rFonts w:asciiTheme="majorBidi" w:hAnsiTheme="majorBidi" w:cstheme="majorBidi"/>
          <w:sz w:val="28"/>
          <w:szCs w:val="28"/>
        </w:rPr>
      </w:pPr>
    </w:p>
    <w:p w:rsidR="00610FDC" w:rsidRDefault="00610FDC" w:rsidP="00610FDC">
      <w:pPr>
        <w:bidi w:val="0"/>
        <w:spacing w:before="100" w:beforeAutospacing="1" w:after="100" w:afterAutospacing="1" w:line="360" w:lineRule="auto"/>
        <w:jc w:val="both"/>
        <w:rPr>
          <w:rFonts w:asciiTheme="majorBidi" w:hAnsiTheme="majorBidi" w:cstheme="majorBidi"/>
          <w:sz w:val="28"/>
          <w:szCs w:val="28"/>
        </w:rPr>
      </w:pPr>
      <w:r>
        <w:rPr>
          <w:noProof/>
          <w:color w:val="0000FF"/>
        </w:rPr>
        <w:lastRenderedPageBreak/>
        <w:drawing>
          <wp:inline distT="0" distB="0" distL="0" distR="0" wp14:anchorId="57A8A2EC" wp14:editId="7B7F26C6">
            <wp:extent cx="5274310" cy="2208736"/>
            <wp:effectExtent l="76200" t="76200" r="135890" b="134620"/>
            <wp:docPr id="8" name="irc_mi" descr="نتيجة بحث الصور عن ‪action of TPMT on 6-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action of TPMT on 6-MP‬‏">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4310" cy="22087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0FDC" w:rsidRDefault="00610FDC" w:rsidP="00053390">
      <w:pPr>
        <w:bidi w:val="0"/>
        <w:spacing w:before="100" w:beforeAutospacing="1" w:after="100" w:afterAutospacing="1" w:line="360" w:lineRule="auto"/>
        <w:jc w:val="both"/>
        <w:rPr>
          <w:rFonts w:asciiTheme="majorBidi" w:hAnsiTheme="majorBidi" w:cstheme="majorBidi"/>
          <w:b/>
          <w:bCs/>
          <w:sz w:val="28"/>
          <w:szCs w:val="28"/>
        </w:rPr>
      </w:pPr>
      <w:r>
        <w:rPr>
          <w:rFonts w:asciiTheme="majorBidi" w:hAnsiTheme="majorBidi" w:cstheme="majorBidi"/>
          <w:b/>
          <w:bCs/>
          <w:sz w:val="28"/>
          <w:szCs w:val="28"/>
        </w:rPr>
        <w:t>Figure (</w:t>
      </w:r>
      <w:r w:rsidR="00053390">
        <w:rPr>
          <w:rFonts w:asciiTheme="majorBidi" w:hAnsiTheme="majorBidi" w:cstheme="majorBidi"/>
          <w:b/>
          <w:bCs/>
          <w:sz w:val="28"/>
          <w:szCs w:val="28"/>
        </w:rPr>
        <w:t>8</w:t>
      </w:r>
      <w:bookmarkStart w:id="0" w:name="_GoBack"/>
      <w:bookmarkEnd w:id="0"/>
      <w:r>
        <w:rPr>
          <w:rFonts w:asciiTheme="majorBidi" w:hAnsiTheme="majorBidi" w:cstheme="majorBidi"/>
          <w:b/>
          <w:bCs/>
          <w:sz w:val="28"/>
          <w:szCs w:val="28"/>
        </w:rPr>
        <w:t xml:space="preserve">): </w:t>
      </w:r>
      <w:proofErr w:type="spellStart"/>
      <w:r w:rsidRPr="00123EF4">
        <w:rPr>
          <w:rFonts w:asciiTheme="majorBidi" w:hAnsiTheme="majorBidi" w:cstheme="majorBidi"/>
          <w:sz w:val="28"/>
          <w:szCs w:val="28"/>
        </w:rPr>
        <w:t>Metabolization</w:t>
      </w:r>
      <w:proofErr w:type="spellEnd"/>
      <w:r w:rsidRPr="00123EF4">
        <w:rPr>
          <w:rFonts w:asciiTheme="majorBidi" w:hAnsiTheme="majorBidi" w:cstheme="majorBidi"/>
          <w:sz w:val="28"/>
          <w:szCs w:val="28"/>
        </w:rPr>
        <w:t xml:space="preserve"> of </w:t>
      </w:r>
      <w:proofErr w:type="spellStart"/>
      <w:r w:rsidRPr="00123EF4">
        <w:rPr>
          <w:rFonts w:asciiTheme="majorBidi" w:hAnsiTheme="majorBidi" w:cstheme="majorBidi"/>
          <w:sz w:val="28"/>
          <w:szCs w:val="28"/>
        </w:rPr>
        <w:t>thiopurine</w:t>
      </w:r>
      <w:proofErr w:type="spellEnd"/>
      <w:r w:rsidRPr="00123EF4">
        <w:rPr>
          <w:rFonts w:asciiTheme="majorBidi" w:hAnsiTheme="majorBidi" w:cstheme="majorBidi"/>
          <w:sz w:val="28"/>
          <w:szCs w:val="28"/>
        </w:rPr>
        <w:t>-based drugs</w:t>
      </w:r>
      <w:r>
        <w:rPr>
          <w:rFonts w:asciiTheme="majorBidi" w:hAnsiTheme="majorBidi" w:cstheme="majorBidi"/>
          <w:b/>
          <w:bCs/>
          <w:sz w:val="28"/>
          <w:szCs w:val="28"/>
        </w:rPr>
        <w:t xml:space="preserve"> (</w:t>
      </w:r>
      <w:r w:rsidRPr="00543A4A">
        <w:rPr>
          <w:rFonts w:asciiTheme="majorBidi" w:hAnsiTheme="majorBidi" w:cstheme="majorBidi"/>
          <w:b/>
          <w:bCs/>
          <w:i/>
          <w:iCs/>
          <w:sz w:val="28"/>
          <w:szCs w:val="28"/>
          <w:lang w:val="en"/>
        </w:rPr>
        <w:t>(Ronald</w:t>
      </w:r>
      <w:r w:rsidRPr="00543A4A">
        <w:rPr>
          <w:rFonts w:asciiTheme="majorBidi" w:hAnsiTheme="majorBidi" w:cstheme="majorBidi"/>
          <w:b/>
          <w:bCs/>
          <w:i/>
          <w:iCs/>
          <w:sz w:val="28"/>
          <w:szCs w:val="28"/>
        </w:rPr>
        <w:t xml:space="preserve"> et al., 2011). </w:t>
      </w:r>
      <w:r>
        <w:rPr>
          <w:rFonts w:asciiTheme="majorBidi" w:hAnsiTheme="majorBidi" w:cstheme="majorBidi"/>
          <w:b/>
          <w:bCs/>
          <w:sz w:val="28"/>
          <w:szCs w:val="28"/>
        </w:rPr>
        <w:t xml:space="preserve"> </w:t>
      </w:r>
      <w:r w:rsidRPr="00543A4A">
        <w:rPr>
          <w:noProof/>
          <w:color w:val="0000FF"/>
        </w:rPr>
        <w:t xml:space="preserve"> </w:t>
      </w:r>
    </w:p>
    <w:p w:rsidR="00544FE4" w:rsidRDefault="00610FDC" w:rsidP="00610FDC">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44FE4" w:rsidRPr="00544FE4">
        <w:rPr>
          <w:rFonts w:asciiTheme="majorBidi" w:hAnsiTheme="majorBidi" w:cstheme="majorBidi"/>
          <w:sz w:val="28"/>
          <w:szCs w:val="28"/>
        </w:rPr>
        <w:t>Azathioprine is converted to 6-mercaptopurine and S-methyl-4-nitro5-thioimidazole in the plasma and tissue by the sulfhydryl-containing compounds</w:t>
      </w:r>
      <w:r w:rsidR="00544FE4">
        <w:rPr>
          <w:rFonts w:asciiTheme="majorBidi" w:hAnsiTheme="majorBidi" w:cstheme="majorBidi"/>
          <w:sz w:val="28"/>
          <w:szCs w:val="28"/>
        </w:rPr>
        <w:t xml:space="preserve"> (</w:t>
      </w:r>
      <w:r w:rsidR="00544FE4" w:rsidRPr="00181D2E">
        <w:rPr>
          <w:rFonts w:asciiTheme="majorBidi" w:hAnsiTheme="majorBidi" w:cstheme="majorBidi"/>
          <w:sz w:val="28"/>
          <w:szCs w:val="28"/>
        </w:rPr>
        <w:t>glutathione-dependent process</w:t>
      </w:r>
      <w:r w:rsidR="00544FE4">
        <w:rPr>
          <w:rFonts w:asciiTheme="majorBidi" w:hAnsiTheme="majorBidi" w:cstheme="majorBidi"/>
          <w:sz w:val="28"/>
          <w:szCs w:val="28"/>
        </w:rPr>
        <w:t>)</w:t>
      </w:r>
      <w:r w:rsidR="00544FE4" w:rsidRPr="00544FE4">
        <w:rPr>
          <w:rFonts w:asciiTheme="majorBidi" w:hAnsiTheme="majorBidi" w:cstheme="majorBidi"/>
          <w:sz w:val="28"/>
          <w:szCs w:val="28"/>
        </w:rPr>
        <w:t>. The S-methyl4-nitro-5-thioimidazole is inactive and represents the first stage of drug elimination and inactivation. The 6-mercaptopurine is metabolized by several enzymatic routes</w:t>
      </w:r>
      <w:r w:rsidR="00544FE4">
        <w:rPr>
          <w:rFonts w:asciiTheme="majorBidi" w:hAnsiTheme="majorBidi" w:cstheme="majorBidi"/>
          <w:sz w:val="28"/>
          <w:szCs w:val="28"/>
        </w:rPr>
        <w:t xml:space="preserve"> </w:t>
      </w:r>
      <w:r w:rsidR="00544FE4" w:rsidRPr="00544FE4">
        <w:rPr>
          <w:rFonts w:asciiTheme="majorBidi" w:hAnsiTheme="majorBidi" w:cstheme="majorBidi"/>
          <w:b/>
          <w:bCs/>
          <w:i/>
          <w:iCs/>
          <w:sz w:val="28"/>
          <w:szCs w:val="28"/>
        </w:rPr>
        <w:t>(Arnott et al., 2003)</w:t>
      </w:r>
      <w:r w:rsidR="00544FE4" w:rsidRPr="00544FE4">
        <w:rPr>
          <w:rFonts w:asciiTheme="majorBidi" w:hAnsiTheme="majorBidi" w:cstheme="majorBidi"/>
          <w:sz w:val="28"/>
          <w:szCs w:val="28"/>
        </w:rPr>
        <w:t xml:space="preserve">. </w:t>
      </w:r>
    </w:p>
    <w:p w:rsidR="00181D2E" w:rsidRDefault="00544FE4" w:rsidP="00544FE4">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44FE4">
        <w:rPr>
          <w:rFonts w:asciiTheme="majorBidi" w:hAnsiTheme="majorBidi" w:cstheme="majorBidi"/>
          <w:sz w:val="28"/>
          <w:szCs w:val="28"/>
        </w:rPr>
        <w:t xml:space="preserve">One route metabolizes it by </w:t>
      </w:r>
      <w:proofErr w:type="spellStart"/>
      <w:r w:rsidRPr="00544FE4">
        <w:rPr>
          <w:rFonts w:asciiTheme="majorBidi" w:hAnsiTheme="majorBidi" w:cstheme="majorBidi"/>
          <w:sz w:val="28"/>
          <w:szCs w:val="28"/>
        </w:rPr>
        <w:t>thiopurine</w:t>
      </w:r>
      <w:proofErr w:type="spellEnd"/>
      <w:r w:rsidRPr="00544FE4">
        <w:rPr>
          <w:rFonts w:asciiTheme="majorBidi" w:hAnsiTheme="majorBidi" w:cstheme="majorBidi"/>
          <w:sz w:val="28"/>
          <w:szCs w:val="28"/>
        </w:rPr>
        <w:t xml:space="preserve"> methyltransferase (TPMT) to methyl-</w:t>
      </w:r>
      <w:proofErr w:type="spellStart"/>
      <w:r w:rsidRPr="00544FE4">
        <w:rPr>
          <w:rFonts w:asciiTheme="majorBidi" w:hAnsiTheme="majorBidi" w:cstheme="majorBidi"/>
          <w:sz w:val="28"/>
          <w:szCs w:val="28"/>
        </w:rPr>
        <w:t>thiopurine</w:t>
      </w:r>
      <w:proofErr w:type="spellEnd"/>
      <w:r w:rsidRPr="00544FE4">
        <w:rPr>
          <w:rFonts w:asciiTheme="majorBidi" w:hAnsiTheme="majorBidi" w:cstheme="majorBidi"/>
          <w:sz w:val="28"/>
          <w:szCs w:val="28"/>
        </w:rPr>
        <w:t xml:space="preserve"> metabolites, which are inactive. The other metabolic routes—hypoxanthine phosphoribosyl transferase (HGPRT), inosine monophosphate dehydrogenase (IMPD), and guanine monophosphate </w:t>
      </w:r>
      <w:proofErr w:type="spellStart"/>
      <w:r w:rsidRPr="00544FE4">
        <w:rPr>
          <w:rFonts w:asciiTheme="majorBidi" w:hAnsiTheme="majorBidi" w:cstheme="majorBidi"/>
          <w:sz w:val="28"/>
          <w:szCs w:val="28"/>
        </w:rPr>
        <w:t>synthetase</w:t>
      </w:r>
      <w:proofErr w:type="spellEnd"/>
      <w:r w:rsidRPr="00544FE4">
        <w:rPr>
          <w:rFonts w:asciiTheme="majorBidi" w:hAnsiTheme="majorBidi" w:cstheme="majorBidi"/>
          <w:sz w:val="28"/>
          <w:szCs w:val="28"/>
        </w:rPr>
        <w:t xml:space="preserve"> (GMPS</w:t>
      </w:r>
      <w:proofErr w:type="gramStart"/>
      <w:r w:rsidRPr="00544FE4">
        <w:rPr>
          <w:rFonts w:asciiTheme="majorBidi" w:hAnsiTheme="majorBidi" w:cstheme="majorBidi"/>
          <w:sz w:val="28"/>
          <w:szCs w:val="28"/>
        </w:rPr>
        <w:t>)—</w:t>
      </w:r>
      <w:proofErr w:type="gramEnd"/>
      <w:r w:rsidRPr="00544FE4">
        <w:rPr>
          <w:rFonts w:asciiTheme="majorBidi" w:hAnsiTheme="majorBidi" w:cstheme="majorBidi"/>
          <w:sz w:val="28"/>
          <w:szCs w:val="28"/>
        </w:rPr>
        <w:t xml:space="preserve"> produce active </w:t>
      </w:r>
      <w:proofErr w:type="spellStart"/>
      <w:r w:rsidRPr="00544FE4">
        <w:rPr>
          <w:rFonts w:asciiTheme="majorBidi" w:hAnsiTheme="majorBidi" w:cstheme="majorBidi"/>
          <w:sz w:val="28"/>
          <w:szCs w:val="28"/>
        </w:rPr>
        <w:t>thiopurine</w:t>
      </w:r>
      <w:proofErr w:type="spellEnd"/>
      <w:r w:rsidRPr="00544FE4">
        <w:rPr>
          <w:rFonts w:asciiTheme="majorBidi" w:hAnsiTheme="majorBidi" w:cstheme="majorBidi"/>
          <w:sz w:val="28"/>
          <w:szCs w:val="28"/>
        </w:rPr>
        <w:t xml:space="preserve"> nucleotides (</w:t>
      </w:r>
      <w:proofErr w:type="spellStart"/>
      <w:r w:rsidRPr="00544FE4">
        <w:rPr>
          <w:rFonts w:asciiTheme="majorBidi" w:hAnsiTheme="majorBidi" w:cstheme="majorBidi"/>
          <w:sz w:val="28"/>
          <w:szCs w:val="28"/>
        </w:rPr>
        <w:t>eg</w:t>
      </w:r>
      <w:proofErr w:type="spellEnd"/>
      <w:r w:rsidRPr="00544FE4">
        <w:rPr>
          <w:rFonts w:asciiTheme="majorBidi" w:hAnsiTheme="majorBidi" w:cstheme="majorBidi"/>
          <w:sz w:val="28"/>
          <w:szCs w:val="28"/>
        </w:rPr>
        <w:t>, 6-methyl-mercaptopurine, 6- methyl-thioinosine-5'-monophosphate and 6-thioguanine nucleotides), and xanthine oxidase (XO) produces the inactive 6-thiouric acid</w:t>
      </w:r>
      <w:r w:rsidR="00181D2E">
        <w:t xml:space="preserve">  </w:t>
      </w:r>
      <w:r w:rsidR="00181D2E" w:rsidRPr="00181D2E">
        <w:rPr>
          <w:rFonts w:asciiTheme="majorBidi" w:hAnsiTheme="majorBidi" w:cstheme="majorBidi"/>
          <w:b/>
          <w:bCs/>
          <w:i/>
          <w:iCs/>
          <w:sz w:val="28"/>
          <w:szCs w:val="28"/>
        </w:rPr>
        <w:t>(Higgs et al.</w:t>
      </w:r>
      <w:r w:rsidR="005923AE">
        <w:rPr>
          <w:rFonts w:asciiTheme="majorBidi" w:hAnsiTheme="majorBidi" w:cstheme="majorBidi"/>
          <w:b/>
          <w:bCs/>
          <w:i/>
          <w:iCs/>
          <w:sz w:val="28"/>
          <w:szCs w:val="28"/>
        </w:rPr>
        <w:t>,</w:t>
      </w:r>
      <w:r w:rsidR="00181D2E" w:rsidRPr="00181D2E">
        <w:rPr>
          <w:rFonts w:asciiTheme="majorBidi" w:hAnsiTheme="majorBidi" w:cstheme="majorBidi"/>
          <w:b/>
          <w:bCs/>
          <w:i/>
          <w:iCs/>
          <w:sz w:val="28"/>
          <w:szCs w:val="28"/>
        </w:rPr>
        <w:t>2010).</w:t>
      </w:r>
      <w:r w:rsidR="00181D2E">
        <w:rPr>
          <w:rFonts w:asciiTheme="majorBidi" w:hAnsiTheme="majorBidi" w:cstheme="majorBidi"/>
          <w:sz w:val="28"/>
          <w:szCs w:val="28"/>
        </w:rPr>
        <w:t xml:space="preserve"> </w:t>
      </w:r>
    </w:p>
    <w:p w:rsidR="00610FDC" w:rsidRDefault="0043700D" w:rsidP="0043700D">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610FDC" w:rsidRDefault="00610FDC" w:rsidP="00610FDC">
      <w:pPr>
        <w:bidi w:val="0"/>
        <w:spacing w:before="100" w:beforeAutospacing="1" w:after="100" w:afterAutospacing="1" w:line="360" w:lineRule="auto"/>
        <w:jc w:val="both"/>
        <w:rPr>
          <w:rFonts w:asciiTheme="majorBidi" w:hAnsiTheme="majorBidi" w:cstheme="majorBidi"/>
          <w:sz w:val="28"/>
          <w:szCs w:val="28"/>
        </w:rPr>
      </w:pPr>
    </w:p>
    <w:p w:rsidR="0043700D" w:rsidRDefault="00610FDC" w:rsidP="00610FDC">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43700D">
        <w:rPr>
          <w:rFonts w:asciiTheme="majorBidi" w:hAnsiTheme="majorBidi" w:cstheme="majorBidi"/>
          <w:sz w:val="28"/>
          <w:szCs w:val="28"/>
        </w:rPr>
        <w:t xml:space="preserve"> </w:t>
      </w:r>
      <w:r w:rsidR="003C5B07" w:rsidRPr="003C5B07">
        <w:rPr>
          <w:rFonts w:asciiTheme="majorBidi" w:hAnsiTheme="majorBidi" w:cstheme="majorBidi"/>
          <w:sz w:val="28"/>
          <w:szCs w:val="28"/>
        </w:rPr>
        <w:t xml:space="preserve"> 6-TGNs then either incorporate directly into DNA, which triggers delayed cytotoxicity, or they inhibit intracellular signaling pathways that ultimately promote cell death via apoptosis. Furthermore, 6-MP is also metabolized to methyl-</w:t>
      </w:r>
      <w:proofErr w:type="spellStart"/>
      <w:r w:rsidR="003C5B07" w:rsidRPr="003C5B07">
        <w:rPr>
          <w:rFonts w:asciiTheme="majorBidi" w:hAnsiTheme="majorBidi" w:cstheme="majorBidi"/>
          <w:sz w:val="28"/>
          <w:szCs w:val="28"/>
        </w:rPr>
        <w:t>thioinosine</w:t>
      </w:r>
      <w:proofErr w:type="spellEnd"/>
      <w:r w:rsidR="003C5B07" w:rsidRPr="003C5B07">
        <w:rPr>
          <w:rFonts w:asciiTheme="majorBidi" w:hAnsiTheme="majorBidi" w:cstheme="majorBidi"/>
          <w:sz w:val="28"/>
          <w:szCs w:val="28"/>
        </w:rPr>
        <w:t>-monophosphate that provokes an additional cytotoxic effect by inhib</w:t>
      </w:r>
      <w:r w:rsidR="003C5B07">
        <w:rPr>
          <w:rFonts w:asciiTheme="majorBidi" w:hAnsiTheme="majorBidi" w:cstheme="majorBidi"/>
          <w:sz w:val="28"/>
          <w:szCs w:val="28"/>
        </w:rPr>
        <w:t xml:space="preserve">iting de novo purine synthesis </w:t>
      </w:r>
      <w:r w:rsidR="003C5B07" w:rsidRPr="003C5B07">
        <w:rPr>
          <w:rFonts w:asciiTheme="majorBidi" w:hAnsiTheme="majorBidi" w:cstheme="majorBidi"/>
          <w:b/>
          <w:bCs/>
          <w:i/>
          <w:iCs/>
          <w:sz w:val="28"/>
          <w:szCs w:val="28"/>
        </w:rPr>
        <w:t>(Wang et al., 2010).</w:t>
      </w:r>
    </w:p>
    <w:p w:rsidR="00123EF4" w:rsidRPr="0043700D" w:rsidRDefault="0043700D" w:rsidP="0043700D">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sidR="008C3A30" w:rsidRPr="008C3A30">
        <w:rPr>
          <w:rFonts w:asciiTheme="majorBidi" w:hAnsiTheme="majorBidi" w:cstheme="majorBidi"/>
          <w:sz w:val="28"/>
          <w:szCs w:val="28"/>
        </w:rPr>
        <w:t>Thioguanine</w:t>
      </w:r>
      <w:proofErr w:type="spellEnd"/>
      <w:r w:rsidR="008C3A30" w:rsidRPr="008C3A30">
        <w:rPr>
          <w:rFonts w:asciiTheme="majorBidi" w:hAnsiTheme="majorBidi" w:cstheme="majorBidi"/>
          <w:sz w:val="28"/>
          <w:szCs w:val="28"/>
        </w:rPr>
        <w:t xml:space="preserve"> (TG) is also a prodrug that belongs to the </w:t>
      </w:r>
      <w:proofErr w:type="spellStart"/>
      <w:r w:rsidR="008C3A30" w:rsidRPr="008C3A30">
        <w:rPr>
          <w:rFonts w:asciiTheme="majorBidi" w:hAnsiTheme="majorBidi" w:cstheme="majorBidi"/>
          <w:sz w:val="28"/>
          <w:szCs w:val="28"/>
        </w:rPr>
        <w:t>thiopurines</w:t>
      </w:r>
      <w:proofErr w:type="spellEnd"/>
      <w:r w:rsidR="008C3A30" w:rsidRPr="008C3A30">
        <w:rPr>
          <w:rFonts w:asciiTheme="majorBidi" w:hAnsiTheme="majorBidi" w:cstheme="majorBidi"/>
          <w:sz w:val="28"/>
          <w:szCs w:val="28"/>
        </w:rPr>
        <w:t xml:space="preserve"> family (2-amino-6-mercaptopurine) and is also partly metabolized by TPMT. Like AZA and 6-MP, it exerts its effect through mechanisms that involve the production of 6-TGNs, but </w:t>
      </w:r>
      <w:r w:rsidR="00E76DAF">
        <w:rPr>
          <w:rFonts w:asciiTheme="majorBidi" w:hAnsiTheme="majorBidi" w:cstheme="majorBidi"/>
          <w:sz w:val="28"/>
          <w:szCs w:val="28"/>
        </w:rPr>
        <w:t xml:space="preserve">have </w:t>
      </w:r>
      <w:proofErr w:type="gramStart"/>
      <w:r w:rsidR="00E76DAF">
        <w:rPr>
          <w:rFonts w:asciiTheme="majorBidi" w:hAnsiTheme="majorBidi" w:cstheme="majorBidi"/>
          <w:sz w:val="28"/>
          <w:szCs w:val="28"/>
        </w:rPr>
        <w:t xml:space="preserve">different </w:t>
      </w:r>
      <w:r w:rsidR="008C3A30" w:rsidRPr="008C3A30">
        <w:rPr>
          <w:rFonts w:asciiTheme="majorBidi" w:hAnsiTheme="majorBidi" w:cstheme="majorBidi"/>
          <w:sz w:val="28"/>
          <w:szCs w:val="28"/>
        </w:rPr>
        <w:t xml:space="preserve"> pathways</w:t>
      </w:r>
      <w:proofErr w:type="gramEnd"/>
      <w:r w:rsidR="008C3A30" w:rsidRPr="008C3A30">
        <w:rPr>
          <w:rFonts w:asciiTheme="majorBidi" w:hAnsiTheme="majorBidi" w:cstheme="majorBidi"/>
          <w:sz w:val="28"/>
          <w:szCs w:val="28"/>
        </w:rPr>
        <w:t xml:space="preserve">. However, due to its more pronounced toxicity profile and lack of additional benefit, its use became somewhat </w:t>
      </w:r>
      <w:r w:rsidR="00E76DAF">
        <w:rPr>
          <w:rFonts w:asciiTheme="majorBidi" w:hAnsiTheme="majorBidi" w:cstheme="majorBidi"/>
          <w:sz w:val="28"/>
          <w:szCs w:val="28"/>
        </w:rPr>
        <w:t>restricted</w:t>
      </w:r>
      <w:r w:rsidR="008C3A30" w:rsidRPr="008C3A30">
        <w:rPr>
          <w:rFonts w:asciiTheme="majorBidi" w:hAnsiTheme="majorBidi" w:cstheme="majorBidi"/>
          <w:sz w:val="28"/>
          <w:szCs w:val="28"/>
        </w:rPr>
        <w:t xml:space="preserve"> to the intensification phase of some </w:t>
      </w:r>
      <w:proofErr w:type="spellStart"/>
      <w:r w:rsidR="008C3A30" w:rsidRPr="008C3A30">
        <w:rPr>
          <w:rFonts w:asciiTheme="majorBidi" w:hAnsiTheme="majorBidi" w:cstheme="majorBidi"/>
          <w:sz w:val="28"/>
          <w:szCs w:val="28"/>
        </w:rPr>
        <w:t>antileukemia</w:t>
      </w:r>
      <w:proofErr w:type="spellEnd"/>
      <w:r w:rsidR="008C3A30" w:rsidRPr="008C3A30">
        <w:rPr>
          <w:rFonts w:asciiTheme="majorBidi" w:hAnsiTheme="majorBidi" w:cstheme="majorBidi"/>
          <w:sz w:val="28"/>
          <w:szCs w:val="28"/>
        </w:rPr>
        <w:t xml:space="preserve"> protocols</w:t>
      </w:r>
      <w:r w:rsidR="008C3A30">
        <w:rPr>
          <w:rFonts w:asciiTheme="majorBidi" w:hAnsiTheme="majorBidi" w:cstheme="majorBidi"/>
          <w:sz w:val="28"/>
          <w:szCs w:val="28"/>
        </w:rPr>
        <w:t xml:space="preserve"> </w:t>
      </w:r>
      <w:r w:rsidR="008C3A30" w:rsidRPr="00E76DAF">
        <w:rPr>
          <w:rFonts w:asciiTheme="majorBidi" w:hAnsiTheme="majorBidi" w:cstheme="majorBidi"/>
          <w:b/>
          <w:bCs/>
          <w:i/>
          <w:iCs/>
          <w:sz w:val="28"/>
          <w:szCs w:val="28"/>
        </w:rPr>
        <w:t>(</w:t>
      </w:r>
      <w:proofErr w:type="spellStart"/>
      <w:r w:rsidR="00E76DAF" w:rsidRPr="00E76DAF">
        <w:rPr>
          <w:rFonts w:asciiTheme="majorBidi" w:hAnsiTheme="majorBidi" w:cstheme="majorBidi"/>
          <w:b/>
          <w:bCs/>
          <w:i/>
          <w:iCs/>
          <w:sz w:val="28"/>
          <w:szCs w:val="28"/>
        </w:rPr>
        <w:t>Vora</w:t>
      </w:r>
      <w:proofErr w:type="spellEnd"/>
      <w:r w:rsidR="00E76DAF" w:rsidRPr="00E76DAF">
        <w:rPr>
          <w:rFonts w:asciiTheme="majorBidi" w:hAnsiTheme="majorBidi" w:cstheme="majorBidi"/>
          <w:b/>
          <w:bCs/>
          <w:i/>
          <w:iCs/>
          <w:sz w:val="28"/>
          <w:szCs w:val="28"/>
        </w:rPr>
        <w:t xml:space="preserve"> et al. 2006).</w:t>
      </w:r>
    </w:p>
    <w:p w:rsidR="00123EF4" w:rsidRDefault="001744A9" w:rsidP="00841045">
      <w:pPr>
        <w:bidi w:val="0"/>
        <w:spacing w:before="100" w:beforeAutospacing="1" w:after="100" w:afterAutospacing="1" w:line="360" w:lineRule="auto"/>
        <w:jc w:val="both"/>
        <w:rPr>
          <w:rFonts w:asciiTheme="majorBidi" w:hAnsiTheme="majorBidi" w:cstheme="majorBidi"/>
          <w:b/>
          <w:bCs/>
          <w:sz w:val="28"/>
          <w:szCs w:val="28"/>
        </w:rPr>
      </w:pPr>
      <w:r>
        <w:rPr>
          <w:rFonts w:asciiTheme="majorBidi" w:hAnsiTheme="majorBidi" w:cstheme="majorBidi"/>
          <w:sz w:val="28"/>
          <w:szCs w:val="28"/>
        </w:rPr>
        <w:t>2</w:t>
      </w:r>
      <w:r w:rsidR="00C143BC">
        <w:rPr>
          <w:rFonts w:asciiTheme="majorBidi" w:hAnsiTheme="majorBidi" w:cstheme="majorBidi"/>
          <w:sz w:val="28"/>
          <w:szCs w:val="28"/>
        </w:rPr>
        <w:t>-</w:t>
      </w:r>
      <w:r w:rsidR="00123EF4">
        <w:rPr>
          <w:rFonts w:asciiTheme="majorBidi" w:hAnsiTheme="majorBidi" w:cstheme="majorBidi"/>
          <w:sz w:val="28"/>
          <w:szCs w:val="28"/>
        </w:rPr>
        <w:t xml:space="preserve"> </w:t>
      </w:r>
      <w:r w:rsidR="00841045" w:rsidRPr="00841045">
        <w:rPr>
          <w:rFonts w:asciiTheme="majorBidi" w:hAnsiTheme="majorBidi" w:cstheme="majorBidi"/>
          <w:b/>
          <w:bCs/>
          <w:sz w:val="28"/>
          <w:szCs w:val="28"/>
        </w:rPr>
        <w:t xml:space="preserve">Influence of </w:t>
      </w:r>
      <w:r w:rsidR="00123EF4" w:rsidRPr="00841045">
        <w:rPr>
          <w:rFonts w:asciiTheme="majorBidi" w:hAnsiTheme="majorBidi" w:cstheme="majorBidi"/>
          <w:b/>
          <w:bCs/>
          <w:sz w:val="28"/>
          <w:szCs w:val="28"/>
        </w:rPr>
        <w:t>TPMT genetic variant</w:t>
      </w:r>
      <w:r w:rsidR="00841045" w:rsidRPr="00841045">
        <w:rPr>
          <w:rFonts w:asciiTheme="majorBidi" w:hAnsiTheme="majorBidi" w:cstheme="majorBidi"/>
          <w:b/>
          <w:bCs/>
          <w:sz w:val="28"/>
          <w:szCs w:val="28"/>
        </w:rPr>
        <w:t xml:space="preserve"> on 6-MP therapy:</w:t>
      </w:r>
    </w:p>
    <w:p w:rsidR="00373A40" w:rsidRDefault="00AD0049" w:rsidP="00BB0913">
      <w:pPr>
        <w:bidi w:val="0"/>
        <w:spacing w:before="100" w:beforeAutospacing="1" w:after="100" w:afterAutospacing="1" w:line="360" w:lineRule="auto"/>
        <w:jc w:val="both"/>
        <w:rPr>
          <w:rFonts w:asciiTheme="majorBidi" w:hAnsiTheme="majorBidi" w:cstheme="majorBidi"/>
          <w:sz w:val="28"/>
          <w:szCs w:val="28"/>
        </w:rPr>
      </w:pPr>
      <w:r w:rsidRPr="00AD0049">
        <w:rPr>
          <w:rFonts w:asciiTheme="majorBidi" w:hAnsiTheme="majorBidi" w:cstheme="majorBidi"/>
          <w:sz w:val="28"/>
          <w:szCs w:val="28"/>
        </w:rPr>
        <w:t xml:space="preserve">       </w:t>
      </w:r>
      <w:r w:rsidR="001D06C0" w:rsidRPr="00AD0049">
        <w:rPr>
          <w:rFonts w:asciiTheme="majorBidi" w:hAnsiTheme="majorBidi" w:cstheme="majorBidi"/>
          <w:sz w:val="28"/>
          <w:szCs w:val="28"/>
        </w:rPr>
        <w:t xml:space="preserve">It is well established that the balance between 6-TGN and 6-MMPN is highly variable and primarily influenced by genetic polymorphisms of </w:t>
      </w:r>
      <w:r w:rsidRPr="00AD0049">
        <w:rPr>
          <w:rFonts w:asciiTheme="majorBidi" w:hAnsiTheme="majorBidi" w:cstheme="majorBidi"/>
          <w:sz w:val="28"/>
          <w:szCs w:val="28"/>
        </w:rPr>
        <w:t>TPMT</w:t>
      </w:r>
      <w:r>
        <w:rPr>
          <w:rFonts w:asciiTheme="majorBidi" w:hAnsiTheme="majorBidi" w:cstheme="majorBidi"/>
          <w:sz w:val="28"/>
          <w:szCs w:val="28"/>
        </w:rPr>
        <w:t xml:space="preserve"> </w:t>
      </w:r>
      <w:r w:rsidRPr="00AD0049">
        <w:rPr>
          <w:rFonts w:asciiTheme="majorBidi" w:hAnsiTheme="majorBidi" w:cstheme="majorBidi"/>
          <w:b/>
          <w:bCs/>
          <w:i/>
          <w:iCs/>
          <w:sz w:val="28"/>
          <w:szCs w:val="28"/>
        </w:rPr>
        <w:t>(</w:t>
      </w:r>
      <w:proofErr w:type="spellStart"/>
      <w:r w:rsidRPr="00AD0049">
        <w:rPr>
          <w:rFonts w:asciiTheme="majorBidi" w:hAnsiTheme="majorBidi" w:cstheme="majorBidi"/>
          <w:b/>
          <w:bCs/>
          <w:i/>
          <w:iCs/>
          <w:sz w:val="28"/>
          <w:szCs w:val="28"/>
        </w:rPr>
        <w:t>Cheok</w:t>
      </w:r>
      <w:proofErr w:type="spellEnd"/>
      <w:r w:rsidRPr="00AD0049">
        <w:rPr>
          <w:rFonts w:asciiTheme="majorBidi" w:hAnsiTheme="majorBidi" w:cstheme="majorBidi"/>
          <w:b/>
          <w:bCs/>
          <w:i/>
          <w:iCs/>
          <w:sz w:val="28"/>
          <w:szCs w:val="28"/>
        </w:rPr>
        <w:t xml:space="preserve"> and </w:t>
      </w:r>
      <w:proofErr w:type="gramStart"/>
      <w:r w:rsidRPr="00AD0049">
        <w:rPr>
          <w:rFonts w:asciiTheme="majorBidi" w:hAnsiTheme="majorBidi" w:cstheme="majorBidi"/>
          <w:b/>
          <w:bCs/>
          <w:i/>
          <w:iCs/>
          <w:sz w:val="28"/>
          <w:szCs w:val="28"/>
        </w:rPr>
        <w:t>Evans ,</w:t>
      </w:r>
      <w:proofErr w:type="gramEnd"/>
      <w:r w:rsidRPr="00AD0049">
        <w:rPr>
          <w:rFonts w:asciiTheme="majorBidi" w:hAnsiTheme="majorBidi" w:cstheme="majorBidi"/>
          <w:b/>
          <w:bCs/>
          <w:i/>
          <w:iCs/>
          <w:sz w:val="28"/>
          <w:szCs w:val="28"/>
        </w:rPr>
        <w:t xml:space="preserve"> 2006)</w:t>
      </w:r>
      <w:r w:rsidRPr="00AD0049">
        <w:rPr>
          <w:rFonts w:asciiTheme="majorBidi" w:hAnsiTheme="majorBidi" w:cstheme="majorBidi"/>
          <w:b/>
          <w:bCs/>
          <w:sz w:val="28"/>
          <w:szCs w:val="28"/>
        </w:rPr>
        <w:t>.</w:t>
      </w:r>
      <w:r w:rsidR="0049577B" w:rsidRPr="0049577B">
        <w:rPr>
          <w:rFonts w:asciiTheme="majorBidi" w:hAnsiTheme="majorBidi" w:cstheme="majorBidi"/>
          <w:sz w:val="28"/>
          <w:szCs w:val="28"/>
        </w:rPr>
        <w:t xml:space="preserve"> </w:t>
      </w:r>
    </w:p>
    <w:p w:rsidR="0049577B" w:rsidRDefault="00373A40" w:rsidP="00373A40">
      <w:pPr>
        <w:bidi w:val="0"/>
        <w:spacing w:before="100" w:beforeAutospacing="1" w:after="100" w:afterAutospacing="1" w:line="36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49577B" w:rsidRPr="0049577B">
        <w:rPr>
          <w:rFonts w:asciiTheme="majorBidi" w:hAnsiTheme="majorBidi" w:cstheme="majorBidi"/>
          <w:sz w:val="28"/>
          <w:szCs w:val="28"/>
        </w:rPr>
        <w:t xml:space="preserve">Genetic polymorphisms in the TPMT gene can affect the enzymatic activity of TPMT and have been studied extensively. To date, over 38 variant alleles have been identified. They have been </w:t>
      </w:r>
      <w:proofErr w:type="spellStart"/>
      <w:r w:rsidR="00BB0913">
        <w:rPr>
          <w:rFonts w:asciiTheme="majorBidi" w:hAnsiTheme="majorBidi" w:cstheme="majorBidi"/>
          <w:sz w:val="28"/>
          <w:szCs w:val="28"/>
        </w:rPr>
        <w:t>assosciated</w:t>
      </w:r>
      <w:proofErr w:type="spellEnd"/>
      <w:r w:rsidR="0049577B" w:rsidRPr="0049577B">
        <w:rPr>
          <w:rFonts w:asciiTheme="majorBidi" w:hAnsiTheme="majorBidi" w:cstheme="majorBidi"/>
          <w:sz w:val="28"/>
          <w:szCs w:val="28"/>
        </w:rPr>
        <w:t xml:space="preserve"> with variability in response to </w:t>
      </w:r>
      <w:proofErr w:type="spellStart"/>
      <w:r w:rsidR="0049577B" w:rsidRPr="0049577B">
        <w:rPr>
          <w:rFonts w:asciiTheme="majorBidi" w:hAnsiTheme="majorBidi" w:cstheme="majorBidi"/>
          <w:sz w:val="28"/>
          <w:szCs w:val="28"/>
        </w:rPr>
        <w:t>thiopurine</w:t>
      </w:r>
      <w:proofErr w:type="spellEnd"/>
      <w:r w:rsidR="0049577B" w:rsidRPr="0049577B">
        <w:rPr>
          <w:rFonts w:asciiTheme="majorBidi" w:hAnsiTheme="majorBidi" w:cstheme="majorBidi"/>
          <w:sz w:val="28"/>
          <w:szCs w:val="28"/>
        </w:rPr>
        <w:t xml:space="preserve"> drugs, which provides an important example of the clinical importance of pharmacogenetics</w:t>
      </w:r>
      <w:r w:rsidR="0049577B">
        <w:rPr>
          <w:rFonts w:asciiTheme="majorBidi" w:hAnsiTheme="majorBidi" w:cstheme="majorBidi"/>
          <w:sz w:val="28"/>
          <w:szCs w:val="28"/>
        </w:rPr>
        <w:t xml:space="preserve"> </w:t>
      </w:r>
      <w:r w:rsidR="0049577B" w:rsidRPr="0049577B">
        <w:rPr>
          <w:rFonts w:asciiTheme="majorBidi" w:hAnsiTheme="majorBidi" w:cstheme="majorBidi"/>
          <w:b/>
          <w:bCs/>
          <w:i/>
          <w:iCs/>
          <w:sz w:val="28"/>
          <w:szCs w:val="28"/>
        </w:rPr>
        <w:t>(</w:t>
      </w:r>
      <w:proofErr w:type="spellStart"/>
      <w:r w:rsidR="0049577B" w:rsidRPr="0049577B">
        <w:rPr>
          <w:rFonts w:asciiTheme="majorBidi" w:hAnsiTheme="majorBidi" w:cstheme="majorBidi"/>
          <w:b/>
          <w:bCs/>
          <w:i/>
          <w:iCs/>
          <w:sz w:val="28"/>
          <w:szCs w:val="28"/>
        </w:rPr>
        <w:t>Katara</w:t>
      </w:r>
      <w:proofErr w:type="spellEnd"/>
      <w:r w:rsidR="0049577B" w:rsidRPr="0049577B">
        <w:rPr>
          <w:rFonts w:asciiTheme="majorBidi" w:hAnsiTheme="majorBidi" w:cstheme="majorBidi"/>
          <w:b/>
          <w:bCs/>
          <w:i/>
          <w:iCs/>
          <w:sz w:val="28"/>
          <w:szCs w:val="28"/>
        </w:rPr>
        <w:t xml:space="preserve"> and </w:t>
      </w:r>
      <w:proofErr w:type="spellStart"/>
      <w:proofErr w:type="gramStart"/>
      <w:r w:rsidR="0049577B" w:rsidRPr="0049577B">
        <w:rPr>
          <w:rFonts w:asciiTheme="majorBidi" w:hAnsiTheme="majorBidi" w:cstheme="majorBidi"/>
          <w:b/>
          <w:bCs/>
          <w:i/>
          <w:iCs/>
          <w:sz w:val="28"/>
          <w:szCs w:val="28"/>
        </w:rPr>
        <w:t>Kuntal</w:t>
      </w:r>
      <w:proofErr w:type="spellEnd"/>
      <w:r w:rsidR="0049577B" w:rsidRPr="0049577B">
        <w:rPr>
          <w:rFonts w:asciiTheme="majorBidi" w:hAnsiTheme="majorBidi" w:cstheme="majorBidi"/>
          <w:b/>
          <w:bCs/>
          <w:i/>
          <w:iCs/>
          <w:sz w:val="28"/>
          <w:szCs w:val="28"/>
        </w:rPr>
        <w:t xml:space="preserve"> ,</w:t>
      </w:r>
      <w:proofErr w:type="gramEnd"/>
      <w:r w:rsidR="0049577B" w:rsidRPr="0049577B">
        <w:rPr>
          <w:rFonts w:asciiTheme="majorBidi" w:hAnsiTheme="majorBidi" w:cstheme="majorBidi"/>
          <w:b/>
          <w:bCs/>
          <w:i/>
          <w:iCs/>
          <w:sz w:val="28"/>
          <w:szCs w:val="28"/>
        </w:rPr>
        <w:t xml:space="preserve"> 2016).</w:t>
      </w:r>
    </w:p>
    <w:p w:rsidR="005923AE" w:rsidRDefault="00BB0913" w:rsidP="00BB0913">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BB0913" w:rsidRPr="00AD0049" w:rsidRDefault="005923AE" w:rsidP="005923AE">
      <w:pPr>
        <w:bidi w:val="0"/>
        <w:spacing w:before="100" w:beforeAutospacing="1" w:after="100" w:afterAutospacing="1" w:line="360" w:lineRule="auto"/>
        <w:jc w:val="both"/>
        <w:rPr>
          <w:rFonts w:asciiTheme="majorBidi" w:hAnsiTheme="majorBidi" w:cstheme="majorBidi"/>
          <w:b/>
          <w:bCs/>
          <w:sz w:val="28"/>
          <w:szCs w:val="28"/>
        </w:rPr>
      </w:pPr>
      <w:r>
        <w:rPr>
          <w:rFonts w:asciiTheme="majorBidi" w:hAnsiTheme="majorBidi" w:cstheme="majorBidi"/>
          <w:sz w:val="28"/>
          <w:szCs w:val="28"/>
        </w:rPr>
        <w:lastRenderedPageBreak/>
        <w:t xml:space="preserve">      </w:t>
      </w:r>
      <w:r w:rsidR="00BB0913" w:rsidRPr="00123EF4">
        <w:rPr>
          <w:rFonts w:asciiTheme="majorBidi" w:hAnsiTheme="majorBidi" w:cstheme="majorBidi"/>
          <w:sz w:val="28"/>
          <w:szCs w:val="28"/>
        </w:rPr>
        <w:t xml:space="preserve">Patients with absent or reduced TPMT activity accumulate high doses of 6-TGNs, resulting in </w:t>
      </w:r>
      <w:proofErr w:type="spellStart"/>
      <w:r w:rsidR="00BB0913" w:rsidRPr="00123EF4">
        <w:rPr>
          <w:rFonts w:asciiTheme="majorBidi" w:hAnsiTheme="majorBidi" w:cstheme="majorBidi"/>
          <w:sz w:val="28"/>
          <w:szCs w:val="28"/>
        </w:rPr>
        <w:t>thiopurine</w:t>
      </w:r>
      <w:proofErr w:type="spellEnd"/>
      <w:r w:rsidR="00BB0913" w:rsidRPr="00123EF4">
        <w:rPr>
          <w:rFonts w:asciiTheme="majorBidi" w:hAnsiTheme="majorBidi" w:cstheme="majorBidi"/>
          <w:sz w:val="28"/>
          <w:szCs w:val="28"/>
        </w:rPr>
        <w:t xml:space="preserve">-induced myelotoxicity that is characterized by early onset of severe neutropenia when such patients are treated with standard doses of </w:t>
      </w:r>
      <w:proofErr w:type="spellStart"/>
      <w:r w:rsidR="00BB0913" w:rsidRPr="00123EF4">
        <w:rPr>
          <w:rFonts w:asciiTheme="majorBidi" w:hAnsiTheme="majorBidi" w:cstheme="majorBidi"/>
          <w:sz w:val="28"/>
          <w:szCs w:val="28"/>
        </w:rPr>
        <w:t>thiopurine</w:t>
      </w:r>
      <w:proofErr w:type="spellEnd"/>
      <w:r w:rsidR="00BB0913" w:rsidRPr="00123EF4">
        <w:rPr>
          <w:rFonts w:asciiTheme="majorBidi" w:hAnsiTheme="majorBidi" w:cstheme="majorBidi"/>
          <w:sz w:val="28"/>
          <w:szCs w:val="28"/>
        </w:rPr>
        <w:t xml:space="preserve"> drugs. This toxicity is particularly evident in patients carrying two nonfunctional alleles and requires treatment cessation or dose adjustment</w:t>
      </w:r>
      <w:r w:rsidR="00BB0913">
        <w:rPr>
          <w:rFonts w:asciiTheme="majorBidi" w:hAnsiTheme="majorBidi" w:cstheme="majorBidi"/>
          <w:sz w:val="28"/>
          <w:szCs w:val="28"/>
        </w:rPr>
        <w:t xml:space="preserve"> </w:t>
      </w:r>
      <w:r w:rsidR="00BB0913" w:rsidRPr="00623D76">
        <w:rPr>
          <w:rFonts w:asciiTheme="majorBidi" w:eastAsia="Times New Roman" w:hAnsiTheme="majorBidi" w:cstheme="majorBidi"/>
          <w:b/>
          <w:bCs/>
          <w:i/>
          <w:iCs/>
          <w:color w:val="000000"/>
          <w:sz w:val="28"/>
          <w:szCs w:val="28"/>
          <w:lang w:bidi="ar-EG"/>
        </w:rPr>
        <w:t>(</w:t>
      </w:r>
      <w:r w:rsidR="00BB0913" w:rsidRPr="00623D76">
        <w:rPr>
          <w:rFonts w:asciiTheme="majorBidi" w:hAnsiTheme="majorBidi" w:cstheme="majorBidi"/>
          <w:b/>
          <w:bCs/>
          <w:i/>
          <w:iCs/>
          <w:sz w:val="28"/>
          <w:szCs w:val="28"/>
        </w:rPr>
        <w:t>Higgs et al., 2010).</w:t>
      </w:r>
    </w:p>
    <w:p w:rsidR="00BB0913" w:rsidRDefault="0049577B" w:rsidP="00BB0913">
      <w:pPr>
        <w:bidi w:val="0"/>
        <w:spacing w:before="100" w:beforeAutospacing="1" w:after="100" w:afterAutospacing="1" w:line="360" w:lineRule="auto"/>
        <w:jc w:val="both"/>
        <w:rPr>
          <w:rFonts w:asciiTheme="majorBidi" w:hAnsiTheme="majorBidi" w:cstheme="majorBidi"/>
          <w:sz w:val="28"/>
          <w:szCs w:val="28"/>
        </w:rPr>
      </w:pPr>
      <w:r>
        <w:t xml:space="preserve">        </w:t>
      </w:r>
      <w:r w:rsidRPr="0049577B">
        <w:rPr>
          <w:rFonts w:asciiTheme="majorBidi" w:hAnsiTheme="majorBidi" w:cstheme="majorBidi"/>
          <w:sz w:val="28"/>
          <w:szCs w:val="28"/>
        </w:rPr>
        <w:t xml:space="preserve">The wild-type allele is </w:t>
      </w:r>
      <w:r w:rsidR="00C143BC">
        <w:rPr>
          <w:rFonts w:asciiTheme="majorBidi" w:hAnsiTheme="majorBidi" w:cstheme="majorBidi"/>
          <w:sz w:val="28"/>
          <w:szCs w:val="28"/>
        </w:rPr>
        <w:t>known</w:t>
      </w:r>
      <w:r w:rsidRPr="0049577B">
        <w:rPr>
          <w:rFonts w:asciiTheme="majorBidi" w:hAnsiTheme="majorBidi" w:cstheme="majorBidi"/>
          <w:sz w:val="28"/>
          <w:szCs w:val="28"/>
        </w:rPr>
        <w:t xml:space="preserve"> as TPMT*1. The mutant TPMT*2 allele is defined by the G238C </w:t>
      </w:r>
      <w:proofErr w:type="spellStart"/>
      <w:r w:rsidRPr="0049577B">
        <w:rPr>
          <w:rFonts w:asciiTheme="majorBidi" w:hAnsiTheme="majorBidi" w:cstheme="majorBidi"/>
          <w:sz w:val="28"/>
          <w:szCs w:val="28"/>
        </w:rPr>
        <w:t>transversion</w:t>
      </w:r>
      <w:proofErr w:type="spellEnd"/>
      <w:r w:rsidRPr="0049577B">
        <w:rPr>
          <w:rFonts w:asciiTheme="majorBidi" w:hAnsiTheme="majorBidi" w:cstheme="majorBidi"/>
          <w:sz w:val="28"/>
          <w:szCs w:val="28"/>
        </w:rPr>
        <w:t xml:space="preserve"> whereas the TPMT*3 family alleles are defined by the G460A and A719G transitions (i.e., TPMT*</w:t>
      </w:r>
      <w:proofErr w:type="gramStart"/>
      <w:r w:rsidRPr="0049577B">
        <w:rPr>
          <w:rFonts w:asciiTheme="majorBidi" w:hAnsiTheme="majorBidi" w:cstheme="majorBidi"/>
          <w:sz w:val="28"/>
          <w:szCs w:val="28"/>
        </w:rPr>
        <w:t>3A[</w:t>
      </w:r>
      <w:proofErr w:type="gramEnd"/>
      <w:r w:rsidRPr="0049577B">
        <w:rPr>
          <w:rFonts w:asciiTheme="majorBidi" w:hAnsiTheme="majorBidi" w:cstheme="majorBidi"/>
          <w:sz w:val="28"/>
          <w:szCs w:val="28"/>
        </w:rPr>
        <w:t xml:space="preserve">G460A and A719G], TPMT*3B[G460A] and </w:t>
      </w:r>
      <w:r w:rsidR="00BB0913" w:rsidRPr="0049577B">
        <w:rPr>
          <w:rFonts w:asciiTheme="majorBidi" w:hAnsiTheme="majorBidi" w:cstheme="majorBidi"/>
          <w:sz w:val="28"/>
          <w:szCs w:val="28"/>
        </w:rPr>
        <w:t>TPMT*3C[A719G])</w:t>
      </w:r>
      <w:r w:rsidR="00BB0913">
        <w:rPr>
          <w:rFonts w:asciiTheme="majorBidi" w:hAnsiTheme="majorBidi" w:cstheme="majorBidi"/>
          <w:sz w:val="28"/>
          <w:szCs w:val="28"/>
        </w:rPr>
        <w:t xml:space="preserve"> </w:t>
      </w:r>
      <w:r w:rsidR="00BB0913" w:rsidRPr="0049577B">
        <w:rPr>
          <w:rFonts w:asciiTheme="majorBidi" w:hAnsiTheme="majorBidi" w:cstheme="majorBidi"/>
          <w:b/>
          <w:bCs/>
          <w:i/>
          <w:iCs/>
          <w:sz w:val="28"/>
          <w:szCs w:val="28"/>
        </w:rPr>
        <w:t>( Lennard et al., 2015).</w:t>
      </w:r>
    </w:p>
    <w:p w:rsidR="00BB0913" w:rsidRDefault="00BB0913" w:rsidP="00BB0913">
      <w:pPr>
        <w:bidi w:val="0"/>
        <w:spacing w:before="100" w:beforeAutospacing="1" w:after="100" w:afterAutospacing="1" w:line="360" w:lineRule="auto"/>
        <w:jc w:val="both"/>
        <w:rPr>
          <w:rFonts w:asciiTheme="majorBidi" w:eastAsia="Times New Roman" w:hAnsiTheme="majorBidi" w:cstheme="majorBidi"/>
          <w:b/>
          <w:bCs/>
          <w:i/>
          <w:iCs/>
          <w:color w:val="000000"/>
          <w:sz w:val="28"/>
          <w:szCs w:val="28"/>
          <w:lang w:bidi="ar-EG"/>
        </w:rPr>
      </w:pPr>
      <w:r>
        <w:rPr>
          <w:rFonts w:asciiTheme="majorBidi" w:hAnsiTheme="majorBidi" w:cstheme="majorBidi"/>
          <w:sz w:val="28"/>
          <w:szCs w:val="28"/>
        </w:rPr>
        <w:t xml:space="preserve">       </w:t>
      </w:r>
      <w:r w:rsidRPr="00623D76">
        <w:rPr>
          <w:rFonts w:asciiTheme="majorBidi" w:hAnsiTheme="majorBidi" w:cstheme="majorBidi"/>
          <w:sz w:val="28"/>
          <w:szCs w:val="28"/>
        </w:rPr>
        <w:t xml:space="preserve">Across all ethnic groups, ~1 in 300 individuals are </w:t>
      </w:r>
      <w:proofErr w:type="gramStart"/>
      <w:r w:rsidRPr="00623D76">
        <w:rPr>
          <w:rFonts w:asciiTheme="majorBidi" w:hAnsiTheme="majorBidi" w:cstheme="majorBidi"/>
          <w:sz w:val="28"/>
          <w:szCs w:val="28"/>
        </w:rPr>
        <w:t>homozygous  for</w:t>
      </w:r>
      <w:proofErr w:type="gramEnd"/>
      <w:r w:rsidRPr="00623D76">
        <w:rPr>
          <w:rFonts w:asciiTheme="majorBidi" w:hAnsiTheme="majorBidi" w:cstheme="majorBidi"/>
          <w:sz w:val="28"/>
          <w:szCs w:val="28"/>
        </w:rPr>
        <w:t xml:space="preserve"> a mutant TPMT allele and have very low or absent TPMT activity while around 4%–11% of individuals are heterozygous and are generally considered to have intermediate enzymatic activity</w:t>
      </w:r>
      <w:r>
        <w:rPr>
          <w:rFonts w:asciiTheme="majorBidi" w:hAnsiTheme="majorBidi" w:cstheme="majorBidi"/>
          <w:sz w:val="28"/>
          <w:szCs w:val="28"/>
        </w:rPr>
        <w:t xml:space="preserve"> </w:t>
      </w:r>
      <w:r w:rsidRPr="00623D76">
        <w:rPr>
          <w:rFonts w:asciiTheme="majorBidi" w:hAnsiTheme="majorBidi" w:cstheme="majorBidi"/>
          <w:b/>
          <w:bCs/>
          <w:i/>
          <w:iCs/>
          <w:sz w:val="28"/>
          <w:szCs w:val="28"/>
        </w:rPr>
        <w:t xml:space="preserve">( </w:t>
      </w:r>
      <w:proofErr w:type="spellStart"/>
      <w:r w:rsidRPr="00623D76">
        <w:rPr>
          <w:rFonts w:asciiTheme="majorBidi" w:hAnsiTheme="majorBidi" w:cstheme="majorBidi"/>
          <w:b/>
          <w:bCs/>
          <w:i/>
          <w:iCs/>
          <w:sz w:val="28"/>
          <w:szCs w:val="28"/>
        </w:rPr>
        <w:t>Schmiegelow</w:t>
      </w:r>
      <w:proofErr w:type="spellEnd"/>
      <w:r w:rsidRPr="00623D76">
        <w:rPr>
          <w:rFonts w:asciiTheme="majorBidi" w:hAnsiTheme="majorBidi" w:cstheme="majorBidi"/>
          <w:b/>
          <w:bCs/>
          <w:i/>
          <w:iCs/>
          <w:sz w:val="28"/>
          <w:szCs w:val="28"/>
        </w:rPr>
        <w:t xml:space="preserve"> et al.,2009) .</w:t>
      </w:r>
      <w:r w:rsidRPr="00623D76">
        <w:rPr>
          <w:rFonts w:asciiTheme="majorBidi" w:hAnsiTheme="majorBidi" w:cstheme="majorBidi"/>
          <w:sz w:val="28"/>
          <w:szCs w:val="28"/>
        </w:rPr>
        <w:t xml:space="preserve"> </w:t>
      </w:r>
    </w:p>
    <w:p w:rsidR="00BB0913" w:rsidRDefault="00BB0913" w:rsidP="00BB0913">
      <w:pPr>
        <w:bidi w:val="0"/>
        <w:spacing w:before="100" w:beforeAutospacing="1" w:after="100" w:afterAutospacing="1" w:line="360" w:lineRule="auto"/>
        <w:jc w:val="both"/>
        <w:rPr>
          <w:rFonts w:asciiTheme="majorBidi" w:hAnsiTheme="majorBidi" w:cstheme="majorBidi"/>
          <w:b/>
          <w:bCs/>
          <w:i/>
          <w:iCs/>
          <w:sz w:val="28"/>
          <w:szCs w:val="28"/>
        </w:rPr>
      </w:pPr>
      <w:r>
        <w:rPr>
          <w:rFonts w:asciiTheme="majorBidi" w:hAnsiTheme="majorBidi" w:cstheme="majorBidi"/>
          <w:sz w:val="28"/>
          <w:szCs w:val="28"/>
        </w:rPr>
        <w:t xml:space="preserve">      </w:t>
      </w:r>
      <w:r w:rsidR="00C143BC">
        <w:rPr>
          <w:rFonts w:asciiTheme="majorBidi" w:hAnsiTheme="majorBidi" w:cstheme="majorBidi"/>
          <w:sz w:val="28"/>
          <w:szCs w:val="28"/>
        </w:rPr>
        <w:t xml:space="preserve"> </w:t>
      </w:r>
      <w:r w:rsidR="0049577B" w:rsidRPr="0049577B">
        <w:rPr>
          <w:rFonts w:asciiTheme="majorBidi" w:hAnsiTheme="majorBidi" w:cstheme="majorBidi"/>
          <w:sz w:val="28"/>
          <w:szCs w:val="28"/>
        </w:rPr>
        <w:t>The prevalence of TPMT variants is much higher among Caucasians (8.1%–10.1%) than Asian populations (2.3%–4.2%) and it is well established that TPMT*3A is the most prevalent mutant allele in Caucasians, making up to (85%) of all observed mutant alleles</w:t>
      </w:r>
      <w:r w:rsidR="00C143BC" w:rsidRPr="00C143BC">
        <w:rPr>
          <w:rFonts w:asciiTheme="majorBidi" w:hAnsiTheme="majorBidi" w:cstheme="majorBidi"/>
          <w:sz w:val="28"/>
          <w:szCs w:val="28"/>
        </w:rPr>
        <w:t xml:space="preserve">, while TPMT*3C is the most frequently found allele in African </w:t>
      </w:r>
      <w:r w:rsidR="00C143BC">
        <w:rPr>
          <w:rFonts w:asciiTheme="majorBidi" w:hAnsiTheme="majorBidi" w:cstheme="majorBidi"/>
          <w:sz w:val="28"/>
          <w:szCs w:val="28"/>
        </w:rPr>
        <w:t>and Southeast Asian populations</w:t>
      </w:r>
      <w:r w:rsidR="0049577B">
        <w:rPr>
          <w:rFonts w:asciiTheme="majorBidi" w:hAnsiTheme="majorBidi" w:cstheme="majorBidi"/>
          <w:sz w:val="28"/>
          <w:szCs w:val="28"/>
        </w:rPr>
        <w:t xml:space="preserve"> </w:t>
      </w:r>
      <w:r>
        <w:rPr>
          <w:rFonts w:asciiTheme="majorBidi" w:hAnsiTheme="majorBidi" w:cstheme="majorBidi"/>
          <w:b/>
          <w:bCs/>
          <w:i/>
          <w:iCs/>
          <w:sz w:val="28"/>
          <w:szCs w:val="28"/>
        </w:rPr>
        <w:t>(Liu et al., 2015).</w:t>
      </w:r>
    </w:p>
    <w:p w:rsidR="00C60892" w:rsidRPr="00C60892" w:rsidRDefault="00C60892" w:rsidP="00C60892">
      <w:pPr>
        <w:bidi w:val="0"/>
        <w:spacing w:before="100" w:beforeAutospacing="1" w:after="100" w:afterAutospacing="1" w:line="360" w:lineRule="auto"/>
        <w:jc w:val="both"/>
        <w:rPr>
          <w:rFonts w:asciiTheme="majorBidi" w:hAnsiTheme="majorBidi" w:cstheme="majorBidi"/>
          <w:b/>
          <w:bCs/>
          <w:sz w:val="28"/>
          <w:szCs w:val="28"/>
        </w:rPr>
      </w:pPr>
    </w:p>
    <w:p w:rsidR="00C74302" w:rsidRDefault="00C60892" w:rsidP="00C60892">
      <w:pPr>
        <w:bidi w:val="0"/>
        <w:spacing w:before="100" w:beforeAutospacing="1" w:after="100" w:afterAutospacing="1" w:line="360" w:lineRule="auto"/>
        <w:jc w:val="both"/>
        <w:rPr>
          <w:rFonts w:asciiTheme="majorBidi" w:hAnsiTheme="majorBidi" w:cstheme="majorBidi"/>
          <w:b/>
          <w:bCs/>
          <w:i/>
          <w:iCs/>
          <w:sz w:val="28"/>
          <w:szCs w:val="28"/>
        </w:rPr>
      </w:pPr>
      <w:r>
        <w:rPr>
          <w:rFonts w:asciiTheme="majorBidi" w:hAnsiTheme="majorBidi" w:cstheme="majorBidi"/>
          <w:b/>
          <w:bCs/>
          <w:i/>
          <w:iCs/>
          <w:sz w:val="28"/>
          <w:szCs w:val="28"/>
        </w:rPr>
        <w:t xml:space="preserve">    </w:t>
      </w:r>
    </w:p>
    <w:p w:rsidR="00C74302" w:rsidRDefault="00C74302" w:rsidP="00C74302">
      <w:pPr>
        <w:bidi w:val="0"/>
        <w:spacing w:before="100" w:beforeAutospacing="1" w:after="100" w:afterAutospacing="1" w:line="360" w:lineRule="auto"/>
        <w:jc w:val="both"/>
        <w:rPr>
          <w:rFonts w:asciiTheme="majorBidi" w:hAnsiTheme="majorBidi" w:cstheme="majorBidi"/>
          <w:b/>
          <w:bCs/>
          <w:i/>
          <w:iCs/>
          <w:sz w:val="28"/>
          <w:szCs w:val="28"/>
        </w:rPr>
      </w:pPr>
    </w:p>
    <w:p w:rsidR="00C60892" w:rsidRDefault="00C74302" w:rsidP="00C74302">
      <w:pPr>
        <w:bidi w:val="0"/>
        <w:spacing w:before="100" w:beforeAutospacing="1" w:after="100" w:afterAutospacing="1" w:line="360" w:lineRule="auto"/>
        <w:jc w:val="both"/>
        <w:rPr>
          <w:rFonts w:asciiTheme="majorBidi" w:hAnsiTheme="majorBidi" w:cstheme="majorBidi"/>
          <w:b/>
          <w:bCs/>
          <w:i/>
          <w:iCs/>
          <w:sz w:val="28"/>
          <w:szCs w:val="28"/>
        </w:rPr>
      </w:pPr>
      <w:r>
        <w:rPr>
          <w:rFonts w:asciiTheme="majorBidi" w:hAnsiTheme="majorBidi" w:cstheme="majorBidi"/>
          <w:b/>
          <w:bCs/>
          <w:i/>
          <w:iCs/>
          <w:sz w:val="28"/>
          <w:szCs w:val="28"/>
        </w:rPr>
        <w:lastRenderedPageBreak/>
        <w:t xml:space="preserve">    </w:t>
      </w:r>
      <w:r w:rsidR="00C60892">
        <w:rPr>
          <w:rFonts w:asciiTheme="majorBidi" w:hAnsiTheme="majorBidi" w:cstheme="majorBidi"/>
          <w:b/>
          <w:bCs/>
          <w:i/>
          <w:iCs/>
          <w:sz w:val="28"/>
          <w:szCs w:val="28"/>
        </w:rPr>
        <w:t xml:space="preserve"> </w:t>
      </w:r>
      <w:r w:rsidR="00841045">
        <w:rPr>
          <w:rFonts w:asciiTheme="majorBidi" w:hAnsiTheme="majorBidi" w:cstheme="majorBidi"/>
          <w:sz w:val="28"/>
          <w:szCs w:val="28"/>
        </w:rPr>
        <w:t xml:space="preserve">There are many </w:t>
      </w:r>
      <w:r w:rsidR="00623D76" w:rsidRPr="00623D76">
        <w:rPr>
          <w:rFonts w:asciiTheme="majorBidi" w:hAnsiTheme="majorBidi" w:cstheme="majorBidi"/>
          <w:sz w:val="28"/>
          <w:szCs w:val="28"/>
        </w:rPr>
        <w:t xml:space="preserve">factors influence TPMT enzyme activity such as the age and gender of the patient, </w:t>
      </w:r>
      <w:r w:rsidR="00623D76">
        <w:rPr>
          <w:rFonts w:asciiTheme="majorBidi" w:hAnsiTheme="majorBidi" w:cstheme="majorBidi"/>
          <w:sz w:val="28"/>
          <w:szCs w:val="28"/>
        </w:rPr>
        <w:t xml:space="preserve">concomitant </w:t>
      </w:r>
      <w:r w:rsidR="00623D76" w:rsidRPr="00623D76">
        <w:rPr>
          <w:rFonts w:asciiTheme="majorBidi" w:hAnsiTheme="majorBidi" w:cstheme="majorBidi"/>
          <w:sz w:val="28"/>
          <w:szCs w:val="28"/>
        </w:rPr>
        <w:t xml:space="preserve">administration of drugs that </w:t>
      </w:r>
      <w:r w:rsidR="00623D76">
        <w:rPr>
          <w:rFonts w:asciiTheme="majorBidi" w:hAnsiTheme="majorBidi" w:cstheme="majorBidi"/>
          <w:sz w:val="28"/>
          <w:szCs w:val="28"/>
        </w:rPr>
        <w:t>may</w:t>
      </w:r>
      <w:r w:rsidR="00623D76" w:rsidRPr="00623D76">
        <w:rPr>
          <w:rFonts w:asciiTheme="majorBidi" w:hAnsiTheme="majorBidi" w:cstheme="majorBidi"/>
          <w:sz w:val="28"/>
          <w:szCs w:val="28"/>
        </w:rPr>
        <w:t xml:space="preserve"> interfere with the disease condition or TPMT activity (e.g., methotrexate), levels of TPMT cofactor S-</w:t>
      </w:r>
      <w:proofErr w:type="spellStart"/>
      <w:r w:rsidR="00623D76" w:rsidRPr="00623D76">
        <w:rPr>
          <w:rFonts w:asciiTheme="majorBidi" w:hAnsiTheme="majorBidi" w:cstheme="majorBidi"/>
          <w:sz w:val="28"/>
          <w:szCs w:val="28"/>
        </w:rPr>
        <w:t>adenosyl</w:t>
      </w:r>
      <w:proofErr w:type="spellEnd"/>
      <w:r w:rsidR="00623D76" w:rsidRPr="00623D76">
        <w:rPr>
          <w:rFonts w:asciiTheme="majorBidi" w:hAnsiTheme="majorBidi" w:cstheme="majorBidi"/>
          <w:sz w:val="28"/>
          <w:szCs w:val="28"/>
        </w:rPr>
        <w:t>-methionine, recent blood transfusion, life span of red blood cells, as well as untested rare or novel variants in the coding and regulatory regions of the TPMT gene (e.g., TPMT*38 and the VNTR architecture</w:t>
      </w:r>
      <w:r w:rsidR="00623D76">
        <w:t>)</w:t>
      </w:r>
      <w:r w:rsidR="00841045" w:rsidRPr="00841045">
        <w:rPr>
          <w:rFonts w:asciiTheme="majorBidi" w:hAnsiTheme="majorBidi" w:cstheme="majorBidi"/>
          <w:sz w:val="28"/>
          <w:szCs w:val="28"/>
        </w:rPr>
        <w:t xml:space="preserve"> </w:t>
      </w:r>
      <w:proofErr w:type="gramStart"/>
      <w:r w:rsidR="00BB0913" w:rsidRPr="00BB0913">
        <w:rPr>
          <w:rFonts w:asciiTheme="majorBidi" w:eastAsia="Times New Roman" w:hAnsiTheme="majorBidi" w:cstheme="majorBidi"/>
          <w:b/>
          <w:bCs/>
          <w:i/>
          <w:iCs/>
          <w:color w:val="000000"/>
          <w:sz w:val="28"/>
          <w:szCs w:val="28"/>
          <w:lang w:bidi="ar-EG"/>
        </w:rPr>
        <w:t>(</w:t>
      </w:r>
      <w:r w:rsidR="00BB0913" w:rsidRPr="00BB0913">
        <w:rPr>
          <w:rFonts w:asciiTheme="majorBidi" w:hAnsiTheme="majorBidi" w:cstheme="majorBidi"/>
          <w:b/>
          <w:bCs/>
          <w:i/>
          <w:iCs/>
          <w:sz w:val="28"/>
          <w:szCs w:val="28"/>
        </w:rPr>
        <w:t xml:space="preserve"> Tamm</w:t>
      </w:r>
      <w:proofErr w:type="gramEnd"/>
      <w:r w:rsidR="00BB0913" w:rsidRPr="00BB0913">
        <w:rPr>
          <w:rFonts w:asciiTheme="majorBidi" w:eastAsia="Times New Roman" w:hAnsiTheme="majorBidi" w:cstheme="majorBidi"/>
          <w:b/>
          <w:bCs/>
          <w:i/>
          <w:iCs/>
          <w:color w:val="000000"/>
          <w:sz w:val="28"/>
          <w:szCs w:val="28"/>
          <w:lang w:bidi="ar-EG"/>
        </w:rPr>
        <w:t xml:space="preserve"> et al.</w:t>
      </w:r>
      <w:r w:rsidR="00BB0913">
        <w:rPr>
          <w:rFonts w:asciiTheme="majorBidi" w:eastAsia="Times New Roman" w:hAnsiTheme="majorBidi" w:cstheme="majorBidi"/>
          <w:b/>
          <w:bCs/>
          <w:i/>
          <w:iCs/>
          <w:color w:val="000000"/>
          <w:sz w:val="28"/>
          <w:szCs w:val="28"/>
          <w:lang w:bidi="ar-EG"/>
        </w:rPr>
        <w:t>,</w:t>
      </w:r>
      <w:r w:rsidR="00BB0913" w:rsidRPr="00BB0913">
        <w:rPr>
          <w:rFonts w:asciiTheme="majorBidi" w:eastAsia="Times New Roman" w:hAnsiTheme="majorBidi" w:cstheme="majorBidi"/>
          <w:b/>
          <w:bCs/>
          <w:i/>
          <w:iCs/>
          <w:color w:val="000000"/>
          <w:sz w:val="28"/>
          <w:szCs w:val="28"/>
          <w:lang w:bidi="ar-EG"/>
        </w:rPr>
        <w:t xml:space="preserve"> 2016).</w:t>
      </w:r>
    </w:p>
    <w:p w:rsidR="00C60892" w:rsidRDefault="001744A9" w:rsidP="00C60892">
      <w:pPr>
        <w:bidi w:val="0"/>
        <w:spacing w:before="100" w:beforeAutospacing="1" w:after="100" w:afterAutospacing="1" w:line="360" w:lineRule="auto"/>
        <w:jc w:val="both"/>
        <w:rPr>
          <w:rFonts w:asciiTheme="majorBidi" w:hAnsiTheme="majorBidi" w:cstheme="majorBidi"/>
          <w:b/>
          <w:bCs/>
          <w:sz w:val="28"/>
          <w:szCs w:val="28"/>
        </w:rPr>
      </w:pPr>
      <w:r>
        <w:rPr>
          <w:rFonts w:asciiTheme="majorBidi" w:hAnsiTheme="majorBidi" w:cstheme="majorBidi"/>
          <w:b/>
          <w:bCs/>
          <w:sz w:val="28"/>
          <w:szCs w:val="28"/>
        </w:rPr>
        <w:t>3</w:t>
      </w:r>
      <w:r w:rsidR="00C60892">
        <w:rPr>
          <w:rFonts w:asciiTheme="majorBidi" w:hAnsiTheme="majorBidi" w:cstheme="majorBidi"/>
          <w:b/>
          <w:bCs/>
          <w:sz w:val="28"/>
          <w:szCs w:val="28"/>
        </w:rPr>
        <w:t>-Methods of detection of TPMT:</w:t>
      </w:r>
    </w:p>
    <w:p w:rsidR="002F7239" w:rsidRPr="000B13D4" w:rsidRDefault="002F7239" w:rsidP="00C74302">
      <w:pPr>
        <w:bidi w:val="0"/>
        <w:spacing w:before="100" w:beforeAutospacing="1" w:after="100" w:afterAutospacing="1" w:line="360" w:lineRule="auto"/>
        <w:jc w:val="both"/>
        <w:rPr>
          <w:rFonts w:asciiTheme="majorBidi" w:hAnsiTheme="majorBidi" w:cstheme="majorBidi"/>
          <w:b/>
          <w:bCs/>
          <w:i/>
          <w:iCs/>
          <w:sz w:val="28"/>
          <w:szCs w:val="28"/>
        </w:rPr>
      </w:pPr>
      <w:r>
        <w:t xml:space="preserve">         </w:t>
      </w:r>
      <w:r w:rsidRPr="002F7239">
        <w:rPr>
          <w:rFonts w:asciiTheme="majorBidi" w:hAnsiTheme="majorBidi" w:cstheme="majorBidi"/>
          <w:sz w:val="28"/>
          <w:szCs w:val="28"/>
        </w:rPr>
        <w:t xml:space="preserve">It is </w:t>
      </w:r>
      <w:proofErr w:type="gramStart"/>
      <w:r w:rsidRPr="002F7239">
        <w:rPr>
          <w:rFonts w:asciiTheme="majorBidi" w:hAnsiTheme="majorBidi" w:cstheme="majorBidi"/>
          <w:sz w:val="28"/>
          <w:szCs w:val="28"/>
        </w:rPr>
        <w:t>mandatory  to</w:t>
      </w:r>
      <w:proofErr w:type="gramEnd"/>
      <w:r w:rsidRPr="002F7239">
        <w:rPr>
          <w:rFonts w:asciiTheme="majorBidi" w:hAnsiTheme="majorBidi" w:cstheme="majorBidi"/>
          <w:sz w:val="28"/>
          <w:szCs w:val="28"/>
        </w:rPr>
        <w:t xml:space="preserve"> generate an efficient diagnostic tool for the determination of TPMT*2 and *3 alleles, as well as other different </w:t>
      </w:r>
      <w:proofErr w:type="spellStart"/>
      <w:r w:rsidRPr="002F7239">
        <w:rPr>
          <w:rFonts w:asciiTheme="majorBidi" w:hAnsiTheme="majorBidi" w:cstheme="majorBidi"/>
          <w:sz w:val="28"/>
          <w:szCs w:val="28"/>
        </w:rPr>
        <w:t>allels</w:t>
      </w:r>
      <w:proofErr w:type="spellEnd"/>
      <w:r w:rsidRPr="002F7239">
        <w:rPr>
          <w:rFonts w:asciiTheme="majorBidi" w:hAnsiTheme="majorBidi" w:cstheme="majorBidi"/>
          <w:sz w:val="28"/>
          <w:szCs w:val="28"/>
        </w:rPr>
        <w:t xml:space="preserve">. </w:t>
      </w:r>
      <w:r>
        <w:rPr>
          <w:rFonts w:asciiTheme="majorBidi" w:hAnsiTheme="majorBidi" w:cstheme="majorBidi"/>
          <w:b/>
          <w:bCs/>
          <w:sz w:val="28"/>
          <w:szCs w:val="28"/>
        </w:rPr>
        <w:t xml:space="preserve">     </w:t>
      </w:r>
      <w:r w:rsidRPr="002F7239">
        <w:rPr>
          <w:rFonts w:asciiTheme="majorBidi" w:hAnsiTheme="majorBidi" w:cstheme="majorBidi"/>
          <w:sz w:val="28"/>
          <w:szCs w:val="28"/>
        </w:rPr>
        <w:t>Recently few studies describ</w:t>
      </w:r>
      <w:r>
        <w:rPr>
          <w:rFonts w:asciiTheme="majorBidi" w:hAnsiTheme="majorBidi" w:cstheme="majorBidi"/>
          <w:sz w:val="28"/>
          <w:szCs w:val="28"/>
        </w:rPr>
        <w:t xml:space="preserve">e </w:t>
      </w:r>
      <w:r w:rsidRPr="002F7239">
        <w:rPr>
          <w:rFonts w:asciiTheme="majorBidi" w:hAnsiTheme="majorBidi" w:cstheme="majorBidi"/>
          <w:sz w:val="28"/>
          <w:szCs w:val="28"/>
        </w:rPr>
        <w:t>modern methods for TPMT alleles determination using real-time polymerase chain reaction (PC</w:t>
      </w:r>
      <w:r w:rsidR="00C74302">
        <w:rPr>
          <w:rFonts w:asciiTheme="majorBidi" w:hAnsiTheme="majorBidi" w:cstheme="majorBidi"/>
          <w:sz w:val="28"/>
          <w:szCs w:val="28"/>
        </w:rPr>
        <w:t xml:space="preserve">R) machines have been presented, such as </w:t>
      </w:r>
      <w:r w:rsidRPr="002F7239">
        <w:rPr>
          <w:rFonts w:asciiTheme="majorBidi" w:hAnsiTheme="majorBidi" w:cstheme="majorBidi"/>
          <w:sz w:val="28"/>
          <w:szCs w:val="28"/>
        </w:rPr>
        <w:t>using multiplex high resolution melting (HRM) analysis for ident</w:t>
      </w:r>
      <w:r w:rsidR="00C74302">
        <w:rPr>
          <w:rFonts w:asciiTheme="majorBidi" w:hAnsiTheme="majorBidi" w:cstheme="majorBidi"/>
          <w:sz w:val="28"/>
          <w:szCs w:val="28"/>
        </w:rPr>
        <w:t>ifying TPMT*2, TPMT*3A, TPMT*3C</w:t>
      </w:r>
      <w:r w:rsidR="000B13D4">
        <w:rPr>
          <w:rFonts w:asciiTheme="majorBidi" w:hAnsiTheme="majorBidi" w:cstheme="majorBidi"/>
          <w:sz w:val="28"/>
          <w:szCs w:val="28"/>
        </w:rPr>
        <w:t xml:space="preserve"> </w:t>
      </w:r>
      <w:r w:rsidR="000B13D4" w:rsidRPr="000B13D4">
        <w:rPr>
          <w:rFonts w:asciiTheme="majorBidi" w:hAnsiTheme="majorBidi" w:cstheme="majorBidi"/>
          <w:b/>
          <w:bCs/>
          <w:i/>
          <w:iCs/>
          <w:sz w:val="28"/>
          <w:szCs w:val="28"/>
        </w:rPr>
        <w:t>(Lorenz et al.,2012)</w:t>
      </w:r>
      <w:r w:rsidR="00C74302" w:rsidRPr="000B13D4">
        <w:rPr>
          <w:rFonts w:asciiTheme="majorBidi" w:hAnsiTheme="majorBidi" w:cstheme="majorBidi"/>
          <w:b/>
          <w:bCs/>
          <w:i/>
          <w:iCs/>
          <w:sz w:val="28"/>
          <w:szCs w:val="28"/>
        </w:rPr>
        <w:t>.</w:t>
      </w:r>
    </w:p>
    <w:p w:rsidR="007E5DF8" w:rsidRDefault="00CB4355" w:rsidP="007E5DF8">
      <w:pPr>
        <w:pStyle w:val="Default"/>
        <w:spacing w:line="360" w:lineRule="auto"/>
        <w:jc w:val="lowKashida"/>
        <w:rPr>
          <w:rFonts w:asciiTheme="majorBidi" w:hAnsiTheme="majorBidi" w:cstheme="majorBidi"/>
          <w:b/>
          <w:bCs/>
          <w:i/>
          <w:iCs/>
          <w:sz w:val="28"/>
          <w:szCs w:val="28"/>
        </w:rPr>
      </w:pPr>
      <w:r>
        <w:rPr>
          <w:rFonts w:asciiTheme="majorBidi" w:hAnsiTheme="majorBidi" w:cstheme="majorBidi"/>
          <w:sz w:val="28"/>
          <w:szCs w:val="28"/>
        </w:rPr>
        <w:t xml:space="preserve">        </w:t>
      </w:r>
      <w:r w:rsidRPr="007E5DF8">
        <w:rPr>
          <w:rFonts w:asciiTheme="majorBidi" w:hAnsiTheme="majorBidi" w:cstheme="majorBidi"/>
          <w:sz w:val="28"/>
          <w:szCs w:val="28"/>
        </w:rPr>
        <w:t xml:space="preserve">Molecular   analysis for the </w:t>
      </w:r>
      <w:proofErr w:type="gramStart"/>
      <w:r w:rsidRPr="007E5DF8">
        <w:rPr>
          <w:rFonts w:asciiTheme="majorBidi" w:hAnsiTheme="majorBidi" w:cstheme="majorBidi"/>
          <w:sz w:val="28"/>
          <w:szCs w:val="28"/>
        </w:rPr>
        <w:t>most  common</w:t>
      </w:r>
      <w:proofErr w:type="gramEnd"/>
      <w:r w:rsidRPr="007E5DF8">
        <w:rPr>
          <w:rFonts w:asciiTheme="majorBidi" w:hAnsiTheme="majorBidi" w:cstheme="majorBidi"/>
          <w:sz w:val="28"/>
          <w:szCs w:val="28"/>
        </w:rPr>
        <w:t xml:space="preserve"> TPMT mutations: TPMT*2 (G238C), TPMT*3A (G460A, A719G), TPMT*3B (G460A) and TPMT*3C (A719G) </w:t>
      </w:r>
      <w:r w:rsidR="000E0C65" w:rsidRPr="007E5DF8">
        <w:rPr>
          <w:rFonts w:asciiTheme="majorBidi" w:hAnsiTheme="majorBidi" w:cstheme="majorBidi"/>
          <w:sz w:val="28"/>
          <w:szCs w:val="28"/>
        </w:rPr>
        <w:t xml:space="preserve"> </w:t>
      </w:r>
      <w:r w:rsidRPr="007E5DF8">
        <w:rPr>
          <w:rFonts w:asciiTheme="majorBidi" w:hAnsiTheme="majorBidi" w:cstheme="majorBidi"/>
          <w:sz w:val="28"/>
          <w:szCs w:val="28"/>
        </w:rPr>
        <w:t xml:space="preserve">was carried out by PCR and restriction fragment length polymorphism ( R F L P ) . Briefly, DNA was extracted from peripheral blood </w:t>
      </w:r>
      <w:proofErr w:type="gramStart"/>
      <w:r w:rsidR="00F23F10" w:rsidRPr="007E5DF8">
        <w:rPr>
          <w:rFonts w:asciiTheme="majorBidi" w:hAnsiTheme="majorBidi" w:cstheme="majorBidi"/>
          <w:sz w:val="28"/>
          <w:szCs w:val="28"/>
        </w:rPr>
        <w:t xml:space="preserve">and </w:t>
      </w:r>
      <w:r w:rsidRPr="007E5DF8">
        <w:rPr>
          <w:rFonts w:asciiTheme="majorBidi" w:hAnsiTheme="majorBidi" w:cstheme="majorBidi"/>
          <w:sz w:val="28"/>
          <w:szCs w:val="28"/>
        </w:rPr>
        <w:t xml:space="preserve"> directly</w:t>
      </w:r>
      <w:proofErr w:type="gramEnd"/>
      <w:r w:rsidRPr="007E5DF8">
        <w:rPr>
          <w:rFonts w:asciiTheme="majorBidi" w:hAnsiTheme="majorBidi" w:cstheme="majorBidi"/>
          <w:sz w:val="28"/>
          <w:szCs w:val="28"/>
        </w:rPr>
        <w:t xml:space="preserve"> used in PCR, after measuring </w:t>
      </w:r>
      <w:r w:rsidR="00F23F10" w:rsidRPr="007E5DF8">
        <w:rPr>
          <w:rFonts w:asciiTheme="majorBidi" w:hAnsiTheme="majorBidi" w:cstheme="majorBidi"/>
          <w:sz w:val="28"/>
          <w:szCs w:val="28"/>
        </w:rPr>
        <w:t xml:space="preserve">concentration on </w:t>
      </w:r>
      <w:proofErr w:type="spellStart"/>
      <w:r w:rsidR="00F23F10" w:rsidRPr="007E5DF8">
        <w:rPr>
          <w:rFonts w:asciiTheme="majorBidi" w:hAnsiTheme="majorBidi" w:cstheme="majorBidi"/>
          <w:sz w:val="28"/>
          <w:szCs w:val="28"/>
        </w:rPr>
        <w:t>ananodrop</w:t>
      </w:r>
      <w:proofErr w:type="spellEnd"/>
      <w:r w:rsidR="00F23F10" w:rsidRPr="007E5DF8">
        <w:rPr>
          <w:rFonts w:asciiTheme="majorBidi" w:hAnsiTheme="majorBidi" w:cstheme="majorBidi"/>
          <w:sz w:val="28"/>
          <w:szCs w:val="28"/>
        </w:rPr>
        <w:t xml:space="preserve"> </w:t>
      </w:r>
      <w:r w:rsidRPr="007E5DF8">
        <w:rPr>
          <w:rFonts w:asciiTheme="majorBidi" w:hAnsiTheme="majorBidi" w:cstheme="majorBidi"/>
          <w:sz w:val="28"/>
          <w:szCs w:val="28"/>
        </w:rPr>
        <w:t>spectrophotometer (</w:t>
      </w:r>
      <w:proofErr w:type="spellStart"/>
      <w:r w:rsidRPr="007E5DF8">
        <w:rPr>
          <w:rFonts w:asciiTheme="majorBidi" w:hAnsiTheme="majorBidi" w:cstheme="majorBidi"/>
          <w:sz w:val="28"/>
          <w:szCs w:val="28"/>
        </w:rPr>
        <w:t>Thermofisher</w:t>
      </w:r>
      <w:proofErr w:type="spellEnd"/>
      <w:r w:rsidRPr="007E5DF8">
        <w:rPr>
          <w:rFonts w:asciiTheme="majorBidi" w:hAnsiTheme="majorBidi" w:cstheme="majorBidi"/>
          <w:sz w:val="28"/>
          <w:szCs w:val="28"/>
        </w:rPr>
        <w:t>) at</w:t>
      </w:r>
      <w:r w:rsidR="00F23F10" w:rsidRPr="007E5DF8">
        <w:rPr>
          <w:rFonts w:asciiTheme="majorBidi" w:hAnsiTheme="majorBidi" w:cstheme="majorBidi"/>
          <w:sz w:val="28"/>
          <w:szCs w:val="28"/>
        </w:rPr>
        <w:t xml:space="preserve"> 260 nm, for assessing adequacy</w:t>
      </w:r>
      <w:r w:rsidRPr="007E5DF8">
        <w:rPr>
          <w:rFonts w:asciiTheme="majorBidi" w:hAnsiTheme="majorBidi" w:cstheme="majorBidi"/>
          <w:sz w:val="28"/>
          <w:szCs w:val="28"/>
        </w:rPr>
        <w:t xml:space="preserve">. The amplified PCR product was digested by polymorphism specific restriction enzymes and suitable buffer Restriction enzymes used were </w:t>
      </w:r>
      <w:proofErr w:type="spellStart"/>
      <w:r w:rsidRPr="007E5DF8">
        <w:rPr>
          <w:rFonts w:asciiTheme="majorBidi" w:hAnsiTheme="majorBidi" w:cstheme="majorBidi"/>
          <w:sz w:val="28"/>
          <w:szCs w:val="28"/>
        </w:rPr>
        <w:t>MwoI</w:t>
      </w:r>
      <w:proofErr w:type="spellEnd"/>
      <w:r w:rsidRPr="007E5DF8">
        <w:rPr>
          <w:rFonts w:asciiTheme="majorBidi" w:hAnsiTheme="majorBidi" w:cstheme="majorBidi"/>
          <w:sz w:val="28"/>
          <w:szCs w:val="28"/>
        </w:rPr>
        <w:t>, an</w:t>
      </w:r>
      <w:r w:rsidR="00F23F10" w:rsidRPr="007E5DF8">
        <w:rPr>
          <w:rFonts w:asciiTheme="majorBidi" w:hAnsiTheme="majorBidi" w:cstheme="majorBidi"/>
          <w:sz w:val="28"/>
          <w:szCs w:val="28"/>
        </w:rPr>
        <w:t xml:space="preserve">d </w:t>
      </w:r>
      <w:proofErr w:type="spellStart"/>
      <w:r w:rsidR="00F23F10" w:rsidRPr="007E5DF8">
        <w:rPr>
          <w:rFonts w:asciiTheme="majorBidi" w:hAnsiTheme="majorBidi" w:cstheme="majorBidi"/>
          <w:sz w:val="28"/>
          <w:szCs w:val="28"/>
        </w:rPr>
        <w:t>AccI</w:t>
      </w:r>
      <w:proofErr w:type="spellEnd"/>
      <w:r w:rsidR="00F23F10" w:rsidRPr="007E5DF8">
        <w:rPr>
          <w:rFonts w:asciiTheme="majorBidi" w:hAnsiTheme="majorBidi" w:cstheme="majorBidi"/>
          <w:sz w:val="28"/>
          <w:szCs w:val="28"/>
        </w:rPr>
        <w:t xml:space="preserve"> for TPMT*3B and TPMT*3C respectively. Digestion products were electrophoresed on 2%</w:t>
      </w:r>
      <w:r w:rsidR="00F451B9" w:rsidRPr="007E5DF8">
        <w:rPr>
          <w:rFonts w:asciiTheme="majorBidi" w:hAnsiTheme="majorBidi" w:cstheme="majorBidi"/>
          <w:sz w:val="28"/>
          <w:szCs w:val="28"/>
        </w:rPr>
        <w:t>. On the basis of different sized fragments generated, patients were divided into wild type, homozygous or heterozygous mutants</w:t>
      </w:r>
      <w:r w:rsidR="007E5DF8" w:rsidRPr="007E5DF8">
        <w:rPr>
          <w:rFonts w:asciiTheme="majorBidi" w:hAnsiTheme="majorBidi" w:cstheme="majorBidi"/>
          <w:sz w:val="28"/>
          <w:szCs w:val="28"/>
        </w:rPr>
        <w:t xml:space="preserve"> </w:t>
      </w:r>
      <w:r w:rsidR="007E5DF8" w:rsidRPr="007E5DF8">
        <w:rPr>
          <w:rFonts w:asciiTheme="majorBidi" w:hAnsiTheme="majorBidi" w:cstheme="majorBidi"/>
          <w:b/>
          <w:bCs/>
          <w:i/>
          <w:iCs/>
          <w:sz w:val="28"/>
          <w:szCs w:val="28"/>
        </w:rPr>
        <w:t>(Raju et al., 2010).</w:t>
      </w:r>
      <w:r w:rsidR="007E5DF8">
        <w:rPr>
          <w:rFonts w:asciiTheme="majorBidi" w:hAnsiTheme="majorBidi" w:cstheme="majorBidi"/>
          <w:b/>
          <w:bCs/>
          <w:i/>
          <w:iCs/>
          <w:sz w:val="28"/>
          <w:szCs w:val="28"/>
        </w:rPr>
        <w:t xml:space="preserve"> </w:t>
      </w:r>
    </w:p>
    <w:p w:rsidR="003D7BE6" w:rsidRPr="007E5DF8" w:rsidRDefault="007E5DF8" w:rsidP="007E5DF8">
      <w:pPr>
        <w:pStyle w:val="Default"/>
        <w:spacing w:line="360" w:lineRule="auto"/>
        <w:jc w:val="lowKashida"/>
        <w:rPr>
          <w:rFonts w:asciiTheme="majorBidi" w:hAnsiTheme="majorBidi" w:cstheme="majorBidi"/>
          <w:b/>
          <w:bCs/>
          <w:i/>
          <w:iCs/>
          <w:sz w:val="28"/>
          <w:szCs w:val="28"/>
        </w:rPr>
      </w:pPr>
      <w:r>
        <w:rPr>
          <w:rFonts w:asciiTheme="majorBidi" w:hAnsiTheme="majorBidi" w:cstheme="majorBidi"/>
          <w:b/>
          <w:bCs/>
          <w:i/>
          <w:iCs/>
          <w:sz w:val="28"/>
          <w:szCs w:val="28"/>
        </w:rPr>
        <w:lastRenderedPageBreak/>
        <w:t xml:space="preserve">       </w:t>
      </w:r>
      <w:r w:rsidR="003D7BE6">
        <w:rPr>
          <w:rFonts w:asciiTheme="majorBidi" w:hAnsiTheme="majorBidi" w:cstheme="majorBidi"/>
          <w:sz w:val="28"/>
          <w:szCs w:val="28"/>
        </w:rPr>
        <w:t xml:space="preserve">The </w:t>
      </w:r>
      <w:r w:rsidR="003D7BE6" w:rsidRPr="003D7BE6">
        <w:rPr>
          <w:rFonts w:asciiTheme="majorBidi" w:hAnsiTheme="majorBidi" w:cstheme="majorBidi"/>
          <w:sz w:val="28"/>
          <w:szCs w:val="28"/>
        </w:rPr>
        <w:t>previous standard methods for mutation detection</w:t>
      </w:r>
      <w:r w:rsidR="003D7BE6">
        <w:rPr>
          <w:rFonts w:asciiTheme="majorBidi" w:hAnsiTheme="majorBidi" w:cstheme="majorBidi"/>
          <w:sz w:val="28"/>
          <w:szCs w:val="28"/>
        </w:rPr>
        <w:t xml:space="preserve"> (</w:t>
      </w:r>
      <w:r w:rsidR="003D7BE6" w:rsidRPr="003D7BE6">
        <w:rPr>
          <w:rFonts w:asciiTheme="majorBidi" w:hAnsiTheme="majorBidi" w:cstheme="majorBidi"/>
          <w:sz w:val="28"/>
          <w:szCs w:val="28"/>
        </w:rPr>
        <w:t>RFLP</w:t>
      </w:r>
      <w:proofErr w:type="gramStart"/>
      <w:r w:rsidR="003D7BE6">
        <w:rPr>
          <w:rFonts w:asciiTheme="majorBidi" w:hAnsiTheme="majorBidi" w:cstheme="majorBidi"/>
          <w:sz w:val="28"/>
          <w:szCs w:val="28"/>
        </w:rPr>
        <w:t>)</w:t>
      </w:r>
      <w:r w:rsidR="003D7BE6" w:rsidRPr="003D7BE6">
        <w:rPr>
          <w:rFonts w:asciiTheme="majorBidi" w:hAnsiTheme="majorBidi" w:cstheme="majorBidi"/>
          <w:sz w:val="28"/>
          <w:szCs w:val="28"/>
        </w:rPr>
        <w:t xml:space="preserve"> </w:t>
      </w:r>
      <w:r w:rsidR="003D7BE6">
        <w:rPr>
          <w:rFonts w:asciiTheme="majorBidi" w:hAnsiTheme="majorBidi" w:cstheme="majorBidi"/>
          <w:sz w:val="28"/>
          <w:szCs w:val="28"/>
        </w:rPr>
        <w:t xml:space="preserve"> is</w:t>
      </w:r>
      <w:proofErr w:type="gramEnd"/>
      <w:r w:rsidR="003D7BE6">
        <w:rPr>
          <w:rFonts w:asciiTheme="majorBidi" w:hAnsiTheme="majorBidi" w:cstheme="majorBidi"/>
          <w:sz w:val="28"/>
          <w:szCs w:val="28"/>
        </w:rPr>
        <w:t xml:space="preserve"> accused by being </w:t>
      </w:r>
      <w:r w:rsidR="003D7BE6" w:rsidRPr="003D7BE6">
        <w:rPr>
          <w:rFonts w:asciiTheme="majorBidi" w:hAnsiTheme="majorBidi" w:cstheme="majorBidi"/>
          <w:sz w:val="28"/>
          <w:szCs w:val="28"/>
        </w:rPr>
        <w:t>time-consuming, laborious</w:t>
      </w:r>
      <w:r w:rsidR="003D7BE6">
        <w:rPr>
          <w:rFonts w:asciiTheme="majorBidi" w:hAnsiTheme="majorBidi" w:cstheme="majorBidi"/>
          <w:sz w:val="28"/>
          <w:szCs w:val="28"/>
        </w:rPr>
        <w:t xml:space="preserve"> </w:t>
      </w:r>
      <w:r w:rsidR="003D7BE6" w:rsidRPr="003D7BE6">
        <w:rPr>
          <w:rFonts w:asciiTheme="majorBidi" w:hAnsiTheme="majorBidi" w:cstheme="majorBidi"/>
          <w:sz w:val="28"/>
          <w:szCs w:val="28"/>
        </w:rPr>
        <w:t>and expensive.</w:t>
      </w:r>
      <w:r w:rsidR="003D7BE6">
        <w:rPr>
          <w:rFonts w:asciiTheme="majorBidi" w:hAnsiTheme="majorBidi" w:cstheme="majorBidi"/>
          <w:sz w:val="28"/>
          <w:szCs w:val="28"/>
        </w:rPr>
        <w:t xml:space="preserve"> As a result, </w:t>
      </w:r>
      <w:r w:rsidR="003D7BE6" w:rsidRPr="003D7BE6">
        <w:rPr>
          <w:rFonts w:asciiTheme="majorBidi" w:hAnsiTheme="majorBidi" w:cstheme="majorBidi"/>
          <w:sz w:val="28"/>
          <w:szCs w:val="28"/>
        </w:rPr>
        <w:t xml:space="preserve">new high-throughput molecular genetic techniques </w:t>
      </w:r>
      <w:r w:rsidR="003D7BE6">
        <w:rPr>
          <w:rFonts w:asciiTheme="majorBidi" w:hAnsiTheme="majorBidi" w:cstheme="majorBidi"/>
          <w:sz w:val="28"/>
          <w:szCs w:val="28"/>
        </w:rPr>
        <w:t xml:space="preserve">has </w:t>
      </w:r>
      <w:proofErr w:type="gramStart"/>
      <w:r w:rsidR="003D7BE6">
        <w:rPr>
          <w:rFonts w:asciiTheme="majorBidi" w:hAnsiTheme="majorBidi" w:cstheme="majorBidi"/>
          <w:sz w:val="28"/>
          <w:szCs w:val="28"/>
        </w:rPr>
        <w:t xml:space="preserve">been </w:t>
      </w:r>
      <w:r w:rsidR="003D7BE6" w:rsidRPr="003D7BE6">
        <w:rPr>
          <w:rFonts w:asciiTheme="majorBidi" w:hAnsiTheme="majorBidi" w:cstheme="majorBidi"/>
          <w:sz w:val="28"/>
          <w:szCs w:val="28"/>
        </w:rPr>
        <w:t xml:space="preserve"> </w:t>
      </w:r>
      <w:r w:rsidR="003D7BE6">
        <w:rPr>
          <w:rFonts w:asciiTheme="majorBidi" w:hAnsiTheme="majorBidi" w:cstheme="majorBidi"/>
          <w:sz w:val="28"/>
          <w:szCs w:val="28"/>
        </w:rPr>
        <w:t>developed</w:t>
      </w:r>
      <w:proofErr w:type="gramEnd"/>
      <w:r w:rsidR="003D7BE6">
        <w:rPr>
          <w:rFonts w:asciiTheme="majorBidi" w:hAnsiTheme="majorBidi" w:cstheme="majorBidi"/>
          <w:sz w:val="28"/>
          <w:szCs w:val="28"/>
        </w:rPr>
        <w:t xml:space="preserve"> </w:t>
      </w:r>
      <w:r w:rsidR="003D7BE6" w:rsidRPr="003D7BE6">
        <w:rPr>
          <w:rFonts w:asciiTheme="majorBidi" w:hAnsiTheme="majorBidi" w:cstheme="majorBidi"/>
          <w:sz w:val="28"/>
          <w:szCs w:val="28"/>
        </w:rPr>
        <w:t xml:space="preserve">to replace </w:t>
      </w:r>
      <w:r w:rsidR="003D7BE6">
        <w:rPr>
          <w:rFonts w:asciiTheme="majorBidi" w:hAnsiTheme="majorBidi" w:cstheme="majorBidi"/>
          <w:sz w:val="28"/>
          <w:szCs w:val="28"/>
        </w:rPr>
        <w:t xml:space="preserve">it </w:t>
      </w:r>
      <w:r w:rsidR="000B13D4" w:rsidRPr="000B13D4">
        <w:rPr>
          <w:rFonts w:asciiTheme="majorBidi" w:hAnsiTheme="majorBidi" w:cstheme="majorBidi"/>
          <w:b/>
          <w:bCs/>
          <w:i/>
          <w:iCs/>
          <w:sz w:val="28"/>
          <w:szCs w:val="28"/>
        </w:rPr>
        <w:t>(</w:t>
      </w:r>
      <w:proofErr w:type="spellStart"/>
      <w:r w:rsidR="000B13D4" w:rsidRPr="000B13D4">
        <w:rPr>
          <w:rFonts w:asciiTheme="majorBidi" w:hAnsiTheme="majorBidi" w:cstheme="majorBidi"/>
          <w:b/>
          <w:bCs/>
          <w:i/>
          <w:iCs/>
          <w:sz w:val="28"/>
          <w:szCs w:val="28"/>
        </w:rPr>
        <w:t>Burchard</w:t>
      </w:r>
      <w:proofErr w:type="spellEnd"/>
      <w:r w:rsidR="000B13D4" w:rsidRPr="000B13D4">
        <w:rPr>
          <w:rFonts w:asciiTheme="majorBidi" w:hAnsiTheme="majorBidi" w:cstheme="majorBidi"/>
          <w:b/>
          <w:bCs/>
          <w:i/>
          <w:iCs/>
          <w:sz w:val="28"/>
          <w:szCs w:val="28"/>
        </w:rPr>
        <w:t xml:space="preserve"> et al.2014).</w:t>
      </w:r>
    </w:p>
    <w:p w:rsidR="00143625" w:rsidRDefault="00EB40C7" w:rsidP="000B13D4">
      <w:pPr>
        <w:bidi w:val="0"/>
        <w:spacing w:before="100" w:beforeAutospacing="1" w:after="100" w:afterAutospacing="1" w:line="360" w:lineRule="auto"/>
        <w:jc w:val="lowKashida"/>
        <w:rPr>
          <w:rFonts w:asciiTheme="majorBidi" w:hAnsiTheme="majorBidi" w:cstheme="majorBidi"/>
          <w:sz w:val="28"/>
          <w:szCs w:val="28"/>
        </w:rPr>
      </w:pPr>
      <w:r>
        <w:rPr>
          <w:rFonts w:asciiTheme="majorBidi" w:hAnsiTheme="majorBidi" w:cstheme="majorBidi"/>
          <w:sz w:val="28"/>
          <w:szCs w:val="28"/>
        </w:rPr>
        <w:t xml:space="preserve">     Further</w:t>
      </w:r>
      <w:r w:rsidR="00F451B9" w:rsidRPr="00F451B9">
        <w:rPr>
          <w:rFonts w:asciiTheme="majorBidi" w:hAnsiTheme="majorBidi" w:cstheme="majorBidi"/>
          <w:sz w:val="28"/>
          <w:szCs w:val="28"/>
        </w:rPr>
        <w:t xml:space="preserve"> validation of results </w:t>
      </w:r>
      <w:proofErr w:type="gramStart"/>
      <w:r>
        <w:rPr>
          <w:rFonts w:asciiTheme="majorBidi" w:hAnsiTheme="majorBidi" w:cstheme="majorBidi"/>
          <w:sz w:val="28"/>
          <w:szCs w:val="28"/>
        </w:rPr>
        <w:t xml:space="preserve">is </w:t>
      </w:r>
      <w:r w:rsidR="00F451B9" w:rsidRPr="00F451B9">
        <w:rPr>
          <w:rFonts w:asciiTheme="majorBidi" w:hAnsiTheme="majorBidi" w:cstheme="majorBidi"/>
          <w:sz w:val="28"/>
          <w:szCs w:val="28"/>
        </w:rPr>
        <w:t xml:space="preserve"> done</w:t>
      </w:r>
      <w:proofErr w:type="gramEnd"/>
      <w:r w:rsidR="00F451B9" w:rsidRPr="00F451B9">
        <w:rPr>
          <w:rFonts w:asciiTheme="majorBidi" w:hAnsiTheme="majorBidi" w:cstheme="majorBidi"/>
          <w:sz w:val="28"/>
          <w:szCs w:val="28"/>
        </w:rPr>
        <w:t xml:space="preserve"> by reverse dot blot method, using Vienna Lab PG</w:t>
      </w:r>
      <w:r>
        <w:rPr>
          <w:rFonts w:asciiTheme="majorBidi" w:hAnsiTheme="majorBidi" w:cstheme="majorBidi"/>
          <w:sz w:val="28"/>
          <w:szCs w:val="28"/>
        </w:rPr>
        <w:t>X-TPMT Strip Assay® kit (Austria).</w:t>
      </w:r>
      <w:r w:rsidRPr="00EB40C7">
        <w:t xml:space="preserve"> </w:t>
      </w:r>
      <w:r w:rsidRPr="00EB40C7">
        <w:rPr>
          <w:rFonts w:asciiTheme="majorBidi" w:hAnsiTheme="majorBidi" w:cstheme="majorBidi"/>
          <w:sz w:val="28"/>
          <w:szCs w:val="28"/>
        </w:rPr>
        <w:t>The procedure for Reverse dot blot analysis included steps</w:t>
      </w:r>
      <w:r w:rsidR="00143625">
        <w:rPr>
          <w:rFonts w:asciiTheme="majorBidi" w:hAnsiTheme="majorBidi" w:cstheme="majorBidi"/>
          <w:sz w:val="28"/>
          <w:szCs w:val="28"/>
        </w:rPr>
        <w:t xml:space="preserve"> </w:t>
      </w:r>
      <w:r w:rsidR="00143625" w:rsidRPr="000B13D4">
        <w:rPr>
          <w:rFonts w:asciiTheme="majorBidi" w:hAnsiTheme="majorBidi" w:cstheme="majorBidi"/>
          <w:b/>
          <w:bCs/>
          <w:i/>
          <w:iCs/>
          <w:sz w:val="28"/>
          <w:szCs w:val="28"/>
        </w:rPr>
        <w:t>(Ambar et al., 2018)</w:t>
      </w:r>
      <w:proofErr w:type="gramStart"/>
      <w:r w:rsidR="00143625" w:rsidRPr="000B13D4">
        <w:rPr>
          <w:rFonts w:asciiTheme="majorBidi" w:hAnsiTheme="majorBidi" w:cstheme="majorBidi"/>
          <w:b/>
          <w:bCs/>
          <w:i/>
          <w:iCs/>
          <w:sz w:val="28"/>
          <w:szCs w:val="28"/>
        </w:rPr>
        <w:t>.</w:t>
      </w:r>
      <w:r w:rsidRPr="00EB40C7">
        <w:rPr>
          <w:rFonts w:asciiTheme="majorBidi" w:hAnsiTheme="majorBidi" w:cstheme="majorBidi"/>
          <w:sz w:val="28"/>
          <w:szCs w:val="28"/>
        </w:rPr>
        <w:t>:</w:t>
      </w:r>
      <w:proofErr w:type="gramEnd"/>
      <w:r w:rsidRPr="00EB40C7">
        <w:rPr>
          <w:rFonts w:asciiTheme="majorBidi" w:hAnsiTheme="majorBidi" w:cstheme="majorBidi"/>
          <w:sz w:val="28"/>
          <w:szCs w:val="28"/>
        </w:rPr>
        <w:t xml:space="preserve"> </w:t>
      </w:r>
    </w:p>
    <w:p w:rsidR="00143625" w:rsidRDefault="00EB40C7" w:rsidP="00143625">
      <w:pPr>
        <w:bidi w:val="0"/>
        <w:spacing w:before="100" w:beforeAutospacing="1" w:after="100" w:afterAutospacing="1" w:line="360" w:lineRule="auto"/>
        <w:jc w:val="lowKashida"/>
        <w:rPr>
          <w:rFonts w:asciiTheme="majorBidi" w:hAnsiTheme="majorBidi" w:cstheme="majorBidi"/>
          <w:sz w:val="28"/>
          <w:szCs w:val="28"/>
        </w:rPr>
      </w:pPr>
      <w:r w:rsidRPr="00EB40C7">
        <w:rPr>
          <w:rFonts w:asciiTheme="majorBidi" w:hAnsiTheme="majorBidi" w:cstheme="majorBidi"/>
          <w:sz w:val="28"/>
          <w:szCs w:val="28"/>
        </w:rPr>
        <w:t>(1) PCR amplification using biotinylated primers</w:t>
      </w:r>
      <w:r w:rsidR="00143625">
        <w:rPr>
          <w:rFonts w:asciiTheme="majorBidi" w:hAnsiTheme="majorBidi" w:cstheme="majorBidi"/>
          <w:sz w:val="28"/>
          <w:szCs w:val="28"/>
        </w:rPr>
        <w:t>.</w:t>
      </w:r>
    </w:p>
    <w:p w:rsidR="00143625" w:rsidRDefault="00EB40C7" w:rsidP="00143625">
      <w:pPr>
        <w:bidi w:val="0"/>
        <w:spacing w:before="100" w:beforeAutospacing="1" w:after="100" w:afterAutospacing="1" w:line="360" w:lineRule="auto"/>
        <w:jc w:val="lowKashida"/>
        <w:rPr>
          <w:rFonts w:asciiTheme="majorBidi" w:hAnsiTheme="majorBidi" w:cstheme="majorBidi"/>
          <w:sz w:val="28"/>
          <w:szCs w:val="28"/>
        </w:rPr>
      </w:pPr>
      <w:r w:rsidRPr="00EB40C7">
        <w:rPr>
          <w:rFonts w:asciiTheme="majorBidi" w:hAnsiTheme="majorBidi" w:cstheme="majorBidi"/>
          <w:sz w:val="28"/>
          <w:szCs w:val="28"/>
        </w:rPr>
        <w:t xml:space="preserve"> (2) Hybridization of amplification products to a test </w:t>
      </w:r>
      <w:r w:rsidR="00143625">
        <w:rPr>
          <w:rFonts w:asciiTheme="majorBidi" w:hAnsiTheme="majorBidi" w:cstheme="majorBidi"/>
          <w:sz w:val="28"/>
          <w:szCs w:val="28"/>
        </w:rPr>
        <w:t xml:space="preserve">Strip </w:t>
      </w:r>
      <w:r w:rsidR="00143625" w:rsidRPr="00EB40C7">
        <w:rPr>
          <w:rFonts w:asciiTheme="majorBidi" w:hAnsiTheme="majorBidi" w:cstheme="majorBidi"/>
          <w:sz w:val="28"/>
          <w:szCs w:val="28"/>
        </w:rPr>
        <w:t>containing</w:t>
      </w:r>
      <w:r w:rsidR="00504DC4">
        <w:rPr>
          <w:rFonts w:asciiTheme="majorBidi" w:hAnsiTheme="majorBidi" w:cstheme="majorBidi"/>
          <w:sz w:val="28"/>
          <w:szCs w:val="28"/>
        </w:rPr>
        <w:t xml:space="preserve"> allel</w:t>
      </w:r>
      <w:r w:rsidRPr="00EB40C7">
        <w:rPr>
          <w:rFonts w:asciiTheme="majorBidi" w:hAnsiTheme="majorBidi" w:cstheme="majorBidi"/>
          <w:sz w:val="28"/>
          <w:szCs w:val="28"/>
        </w:rPr>
        <w:t xml:space="preserve"> - </w:t>
      </w:r>
      <w:proofErr w:type="gramStart"/>
      <w:r>
        <w:rPr>
          <w:rFonts w:asciiTheme="majorBidi" w:hAnsiTheme="majorBidi" w:cstheme="majorBidi"/>
          <w:sz w:val="28"/>
          <w:szCs w:val="28"/>
        </w:rPr>
        <w:t xml:space="preserve">specific </w:t>
      </w:r>
      <w:r w:rsidRPr="00EB40C7">
        <w:rPr>
          <w:rFonts w:asciiTheme="majorBidi" w:hAnsiTheme="majorBidi" w:cstheme="majorBidi"/>
          <w:sz w:val="28"/>
          <w:szCs w:val="28"/>
        </w:rPr>
        <w:t xml:space="preserve"> oligonucleotide</w:t>
      </w:r>
      <w:proofErr w:type="gramEnd"/>
      <w:r w:rsidRPr="00EB40C7">
        <w:rPr>
          <w:rFonts w:asciiTheme="majorBidi" w:hAnsiTheme="majorBidi" w:cstheme="majorBidi"/>
          <w:sz w:val="28"/>
          <w:szCs w:val="28"/>
        </w:rPr>
        <w:t xml:space="preserve"> probes immobilized, as an array of parallel lines</w:t>
      </w:r>
      <w:r w:rsidR="00143625">
        <w:rPr>
          <w:rFonts w:asciiTheme="majorBidi" w:hAnsiTheme="majorBidi" w:cstheme="majorBidi"/>
          <w:sz w:val="28"/>
          <w:szCs w:val="28"/>
        </w:rPr>
        <w:t>.</w:t>
      </w:r>
    </w:p>
    <w:p w:rsidR="00EB40C7" w:rsidRPr="000B13D4" w:rsidRDefault="00EB40C7" w:rsidP="00143625">
      <w:pPr>
        <w:bidi w:val="0"/>
        <w:spacing w:before="100" w:beforeAutospacing="1" w:after="100" w:afterAutospacing="1" w:line="360" w:lineRule="auto"/>
        <w:jc w:val="lowKashida"/>
        <w:rPr>
          <w:rFonts w:asciiTheme="majorBidi" w:hAnsiTheme="majorBidi" w:cstheme="majorBidi"/>
          <w:b/>
          <w:bCs/>
          <w:i/>
          <w:iCs/>
          <w:sz w:val="28"/>
          <w:szCs w:val="28"/>
        </w:rPr>
      </w:pPr>
      <w:r w:rsidRPr="00EB40C7">
        <w:rPr>
          <w:rFonts w:asciiTheme="majorBidi" w:hAnsiTheme="majorBidi" w:cstheme="majorBidi"/>
          <w:sz w:val="28"/>
          <w:szCs w:val="28"/>
        </w:rPr>
        <w:t xml:space="preserve"> (3) Bound biotinylated sequences detected using streptavidin-alkaline phosphatase (Conjugate) and color substrates.</w:t>
      </w:r>
      <w:r w:rsidR="003D7BE6" w:rsidRPr="003D7BE6">
        <w:t xml:space="preserve"> </w:t>
      </w:r>
      <w:r w:rsidR="003D7BE6" w:rsidRPr="003D7BE6">
        <w:rPr>
          <w:rFonts w:asciiTheme="majorBidi" w:hAnsiTheme="majorBidi" w:cstheme="majorBidi"/>
          <w:sz w:val="28"/>
          <w:szCs w:val="28"/>
        </w:rPr>
        <w:t xml:space="preserve">If the reaction comes positive, a purple staining would appear. Genotype was determined by comparing the test strip, with the comparison strip given by the </w:t>
      </w:r>
      <w:proofErr w:type="gramStart"/>
      <w:r w:rsidR="003D7BE6" w:rsidRPr="003D7BE6">
        <w:rPr>
          <w:rFonts w:asciiTheme="majorBidi" w:hAnsiTheme="majorBidi" w:cstheme="majorBidi"/>
          <w:sz w:val="28"/>
          <w:szCs w:val="28"/>
        </w:rPr>
        <w:t>manufacturer  along</w:t>
      </w:r>
      <w:proofErr w:type="gramEnd"/>
      <w:r w:rsidR="003D7BE6" w:rsidRPr="003D7BE6">
        <w:rPr>
          <w:rFonts w:asciiTheme="majorBidi" w:hAnsiTheme="majorBidi" w:cstheme="majorBidi"/>
          <w:sz w:val="28"/>
          <w:szCs w:val="28"/>
        </w:rPr>
        <w:t xml:space="preserve"> with kit. This assay covered the three most common polymorphic loci</w:t>
      </w:r>
      <w:r w:rsidR="00143625">
        <w:rPr>
          <w:rFonts w:asciiTheme="majorBidi" w:hAnsiTheme="majorBidi" w:cstheme="majorBidi"/>
          <w:sz w:val="28"/>
          <w:szCs w:val="28"/>
        </w:rPr>
        <w:t>.</w:t>
      </w:r>
      <w:r w:rsidR="000B13D4" w:rsidRPr="000B13D4">
        <w:t xml:space="preserve"> </w:t>
      </w:r>
    </w:p>
    <w:p w:rsidR="00C60892" w:rsidRPr="0041445C" w:rsidRDefault="001744A9" w:rsidP="0041445C">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b/>
          <w:bCs/>
          <w:sz w:val="28"/>
          <w:szCs w:val="28"/>
        </w:rPr>
        <w:t>4</w:t>
      </w:r>
      <w:r w:rsidR="00C60892">
        <w:rPr>
          <w:rFonts w:asciiTheme="majorBidi" w:hAnsiTheme="majorBidi" w:cstheme="majorBidi"/>
          <w:b/>
          <w:bCs/>
          <w:sz w:val="28"/>
          <w:szCs w:val="28"/>
        </w:rPr>
        <w:t xml:space="preserve">-Dose </w:t>
      </w:r>
      <w:proofErr w:type="gramStart"/>
      <w:r w:rsidR="00C60892">
        <w:rPr>
          <w:rFonts w:asciiTheme="majorBidi" w:hAnsiTheme="majorBidi" w:cstheme="majorBidi"/>
          <w:b/>
          <w:bCs/>
          <w:sz w:val="28"/>
          <w:szCs w:val="28"/>
        </w:rPr>
        <w:t>adjustment  of</w:t>
      </w:r>
      <w:proofErr w:type="gramEnd"/>
      <w:r w:rsidR="00C60892">
        <w:rPr>
          <w:rFonts w:asciiTheme="majorBidi" w:hAnsiTheme="majorBidi" w:cstheme="majorBidi"/>
          <w:b/>
          <w:bCs/>
          <w:sz w:val="28"/>
          <w:szCs w:val="28"/>
        </w:rPr>
        <w:t xml:space="preserve"> </w:t>
      </w:r>
      <w:proofErr w:type="spellStart"/>
      <w:r w:rsidR="00C60892">
        <w:rPr>
          <w:rFonts w:asciiTheme="majorBidi" w:hAnsiTheme="majorBidi" w:cstheme="majorBidi"/>
          <w:b/>
          <w:bCs/>
          <w:sz w:val="28"/>
          <w:szCs w:val="28"/>
        </w:rPr>
        <w:t>thiopurine</w:t>
      </w:r>
      <w:proofErr w:type="spellEnd"/>
      <w:r w:rsidR="00C60892">
        <w:rPr>
          <w:rFonts w:asciiTheme="majorBidi" w:hAnsiTheme="majorBidi" w:cstheme="majorBidi"/>
          <w:b/>
          <w:bCs/>
          <w:sz w:val="28"/>
          <w:szCs w:val="28"/>
        </w:rPr>
        <w:t xml:space="preserve"> drugs concerning TPMT genetic polymorphism:</w:t>
      </w:r>
    </w:p>
    <w:p w:rsidR="00C60892" w:rsidRDefault="00C60892" w:rsidP="00A313D0">
      <w:pPr>
        <w:bidi w:val="0"/>
        <w:spacing w:before="100" w:beforeAutospacing="1" w:after="100" w:afterAutospacing="1" w:line="360" w:lineRule="auto"/>
        <w:jc w:val="both"/>
        <w:rPr>
          <w:rFonts w:asciiTheme="majorBidi" w:hAnsiTheme="majorBidi" w:cstheme="majorBidi"/>
          <w:b/>
          <w:bCs/>
          <w:sz w:val="28"/>
          <w:szCs w:val="28"/>
          <w:lang w:val="en"/>
        </w:rPr>
      </w:pPr>
      <w:r>
        <w:rPr>
          <w:rFonts w:asciiTheme="majorBidi" w:hAnsiTheme="majorBidi" w:cstheme="majorBidi"/>
          <w:b/>
          <w:bCs/>
          <w:sz w:val="28"/>
          <w:szCs w:val="28"/>
        </w:rPr>
        <w:t xml:space="preserve"> </w:t>
      </w:r>
      <w:r w:rsidR="00A313D0">
        <w:rPr>
          <w:rFonts w:asciiTheme="majorBidi" w:hAnsiTheme="majorBidi" w:cstheme="majorBidi"/>
          <w:b/>
          <w:bCs/>
          <w:sz w:val="28"/>
          <w:szCs w:val="28"/>
        </w:rPr>
        <w:t>1</w:t>
      </w:r>
      <w:r>
        <w:rPr>
          <w:rFonts w:ascii="Arial" w:hAnsi="Arial" w:cs="Arial"/>
          <w:sz w:val="20"/>
          <w:szCs w:val="20"/>
          <w:lang w:val="en"/>
        </w:rPr>
        <w:t>-</w:t>
      </w:r>
      <w:r w:rsidRPr="00C60892">
        <w:rPr>
          <w:rFonts w:asciiTheme="majorBidi" w:hAnsiTheme="majorBidi" w:cstheme="majorBidi"/>
          <w:sz w:val="28"/>
          <w:szCs w:val="28"/>
          <w:lang w:val="en"/>
        </w:rPr>
        <w:t>The Clinical Pharmacogenomics Implementation Consortium (CPIC) guidelines</w:t>
      </w:r>
      <w:r>
        <w:rPr>
          <w:rFonts w:asciiTheme="majorBidi" w:hAnsiTheme="majorBidi" w:cstheme="majorBidi"/>
          <w:sz w:val="28"/>
          <w:szCs w:val="28"/>
          <w:lang w:val="en"/>
        </w:rPr>
        <w:t xml:space="preserve"> </w:t>
      </w:r>
      <w:r w:rsidRPr="00C60892">
        <w:rPr>
          <w:rFonts w:asciiTheme="majorBidi" w:hAnsiTheme="majorBidi" w:cstheme="majorBidi"/>
          <w:b/>
          <w:bCs/>
          <w:i/>
          <w:iCs/>
          <w:sz w:val="28"/>
          <w:szCs w:val="28"/>
          <w:lang w:val="en"/>
        </w:rPr>
        <w:t>(</w:t>
      </w:r>
      <w:proofErr w:type="spellStart"/>
      <w:r w:rsidRPr="00C60892">
        <w:rPr>
          <w:rStyle w:val="mixed-citation"/>
          <w:rFonts w:asciiTheme="majorBidi" w:hAnsiTheme="majorBidi" w:cstheme="majorBidi"/>
          <w:b/>
          <w:bCs/>
          <w:i/>
          <w:iCs/>
          <w:sz w:val="28"/>
          <w:szCs w:val="28"/>
          <w:lang w:val="en"/>
        </w:rPr>
        <w:t>Relling</w:t>
      </w:r>
      <w:proofErr w:type="spellEnd"/>
      <w:r w:rsidRPr="00C60892">
        <w:rPr>
          <w:rFonts w:asciiTheme="majorBidi" w:hAnsiTheme="majorBidi" w:cstheme="majorBidi"/>
          <w:b/>
          <w:bCs/>
          <w:i/>
          <w:iCs/>
          <w:sz w:val="28"/>
          <w:szCs w:val="28"/>
          <w:lang w:val="en"/>
        </w:rPr>
        <w:t xml:space="preserve"> et al., 2011):</w:t>
      </w:r>
    </w:p>
    <w:p w:rsidR="00C60892" w:rsidRDefault="00C60892" w:rsidP="00A313D0">
      <w:pPr>
        <w:bidi w:val="0"/>
        <w:spacing w:before="100" w:beforeAutospacing="1" w:after="100" w:afterAutospacing="1" w:line="360" w:lineRule="auto"/>
        <w:jc w:val="both"/>
        <w:rPr>
          <w:rFonts w:asciiTheme="majorBidi" w:hAnsiTheme="majorBidi" w:cstheme="majorBidi"/>
          <w:b/>
          <w:bCs/>
          <w:sz w:val="28"/>
          <w:szCs w:val="28"/>
          <w:lang w:val="en"/>
        </w:rPr>
      </w:pPr>
      <w:r w:rsidRPr="00C60892">
        <w:rPr>
          <w:rFonts w:asciiTheme="majorBidi" w:eastAsia="Times New Roman" w:hAnsiTheme="majorBidi" w:cstheme="majorBidi"/>
          <w:sz w:val="28"/>
          <w:szCs w:val="28"/>
          <w:lang w:val="en"/>
        </w:rPr>
        <w:t xml:space="preserve">       Heterozygous </w:t>
      </w:r>
      <w:r w:rsidRPr="00C60892">
        <w:rPr>
          <w:rFonts w:asciiTheme="majorBidi" w:eastAsia="Times New Roman" w:hAnsiTheme="majorBidi" w:cstheme="majorBidi"/>
          <w:i/>
          <w:iCs/>
          <w:sz w:val="28"/>
          <w:szCs w:val="28"/>
          <w:lang w:val="en"/>
        </w:rPr>
        <w:t>TPMT</w:t>
      </w:r>
      <w:r w:rsidRPr="00C60892">
        <w:rPr>
          <w:rFonts w:asciiTheme="majorBidi" w:eastAsia="Times New Roman" w:hAnsiTheme="majorBidi" w:cstheme="majorBidi"/>
          <w:sz w:val="28"/>
          <w:szCs w:val="28"/>
          <w:lang w:val="en"/>
        </w:rPr>
        <w:t xml:space="preserve"> genotype (intermediate activity): In patients who possess a single </w:t>
      </w:r>
      <w:r w:rsidRPr="00C60892">
        <w:rPr>
          <w:rFonts w:asciiTheme="majorBidi" w:eastAsia="Times New Roman" w:hAnsiTheme="majorBidi" w:cstheme="majorBidi"/>
          <w:i/>
          <w:iCs/>
          <w:sz w:val="28"/>
          <w:szCs w:val="28"/>
          <w:lang w:val="en"/>
        </w:rPr>
        <w:t>TPMT</w:t>
      </w:r>
      <w:r w:rsidRPr="00C60892">
        <w:rPr>
          <w:rFonts w:asciiTheme="majorBidi" w:eastAsia="Times New Roman" w:hAnsiTheme="majorBidi" w:cstheme="majorBidi"/>
          <w:sz w:val="28"/>
          <w:szCs w:val="28"/>
          <w:lang w:val="en"/>
        </w:rPr>
        <w:t xml:space="preserve"> functional (*1) and nonfunctional allele (*2, *3A, *3B, *3C, or *4), the initial dose of AZA or 6-MP should be reduced by 30-70%.  The AZA dose can be titrated as tolerated.  The 6-</w:t>
      </w:r>
      <w:r w:rsidRPr="00C60892">
        <w:rPr>
          <w:rFonts w:asciiTheme="majorBidi" w:eastAsia="Times New Roman" w:hAnsiTheme="majorBidi" w:cstheme="majorBidi"/>
          <w:sz w:val="28"/>
          <w:szCs w:val="28"/>
          <w:lang w:val="en"/>
        </w:rPr>
        <w:lastRenderedPageBreak/>
        <w:t xml:space="preserve">MP dose should be adjusted based on the severity of myelosuppression and disease-specific guidelines.  The initial dose of TG should be reduced by </w:t>
      </w:r>
      <w:proofErr w:type="gramStart"/>
      <w:r w:rsidRPr="00C60892">
        <w:rPr>
          <w:rFonts w:asciiTheme="majorBidi" w:eastAsia="Times New Roman" w:hAnsiTheme="majorBidi" w:cstheme="majorBidi"/>
          <w:sz w:val="28"/>
          <w:szCs w:val="28"/>
          <w:lang w:val="en"/>
        </w:rPr>
        <w:t>30-50%,</w:t>
      </w:r>
      <w:proofErr w:type="gramEnd"/>
      <w:r w:rsidRPr="00C60892">
        <w:rPr>
          <w:rFonts w:asciiTheme="majorBidi" w:eastAsia="Times New Roman" w:hAnsiTheme="majorBidi" w:cstheme="majorBidi"/>
          <w:sz w:val="28"/>
          <w:szCs w:val="28"/>
          <w:lang w:val="en"/>
        </w:rPr>
        <w:t xml:space="preserve"> and adjusted based on the severity of myelosuppression and disease-specific guidelines</w:t>
      </w:r>
      <w:r>
        <w:rPr>
          <w:rFonts w:ascii="Arial" w:eastAsia="Times New Roman" w:hAnsi="Arial" w:cs="Arial"/>
          <w:sz w:val="20"/>
          <w:szCs w:val="20"/>
          <w:lang w:val="en"/>
        </w:rPr>
        <w:t>.</w:t>
      </w:r>
      <w:r w:rsidR="00A313D0">
        <w:rPr>
          <w:rFonts w:ascii="Arial" w:eastAsia="Times New Roman" w:hAnsi="Arial" w:cs="Arial"/>
          <w:sz w:val="20"/>
          <w:szCs w:val="20"/>
          <w:lang w:val="en"/>
        </w:rPr>
        <w:t xml:space="preserve"> </w:t>
      </w:r>
      <w:r w:rsidR="00A313D0" w:rsidRPr="00A313D0">
        <w:rPr>
          <w:rFonts w:asciiTheme="majorBidi" w:eastAsia="Times New Roman" w:hAnsiTheme="majorBidi" w:cstheme="majorBidi"/>
          <w:sz w:val="28"/>
          <w:szCs w:val="28"/>
          <w:lang w:val="en"/>
        </w:rPr>
        <w:t>While</w:t>
      </w:r>
      <w:r w:rsidR="00A313D0">
        <w:rPr>
          <w:rFonts w:ascii="Arial" w:eastAsia="Times New Roman" w:hAnsi="Arial" w:cs="Arial"/>
          <w:sz w:val="20"/>
          <w:szCs w:val="20"/>
          <w:lang w:val="en"/>
        </w:rPr>
        <w:t xml:space="preserve">, </w:t>
      </w:r>
      <w:r w:rsidR="00A313D0">
        <w:rPr>
          <w:rFonts w:asciiTheme="majorBidi" w:eastAsia="Times New Roman" w:hAnsiTheme="majorBidi" w:cstheme="majorBidi"/>
          <w:sz w:val="28"/>
          <w:szCs w:val="28"/>
          <w:lang w:val="en"/>
        </w:rPr>
        <w:t>h</w:t>
      </w:r>
      <w:r w:rsidRPr="00C60892">
        <w:rPr>
          <w:rFonts w:asciiTheme="majorBidi" w:eastAsia="Times New Roman" w:hAnsiTheme="majorBidi" w:cstheme="majorBidi"/>
          <w:sz w:val="28"/>
          <w:szCs w:val="28"/>
          <w:lang w:val="en"/>
        </w:rPr>
        <w:t xml:space="preserve">omozygous </w:t>
      </w:r>
      <w:r w:rsidRPr="00C60892">
        <w:rPr>
          <w:rFonts w:asciiTheme="majorBidi" w:eastAsia="Times New Roman" w:hAnsiTheme="majorBidi" w:cstheme="majorBidi"/>
          <w:i/>
          <w:iCs/>
          <w:sz w:val="28"/>
          <w:szCs w:val="28"/>
          <w:lang w:val="en"/>
        </w:rPr>
        <w:t>TPMT</w:t>
      </w:r>
      <w:r w:rsidRPr="00C60892">
        <w:rPr>
          <w:rFonts w:asciiTheme="majorBidi" w:eastAsia="Times New Roman" w:hAnsiTheme="majorBidi" w:cstheme="majorBidi"/>
          <w:sz w:val="28"/>
          <w:szCs w:val="28"/>
          <w:lang w:val="en"/>
        </w:rPr>
        <w:t xml:space="preserve"> genotype (variant mutant, low, or deficient activity): Reduce the initial dose of AZA, 6-MP or TG by 10-fold and extend the dosing frequency from daily to three times weekly, or select an alternative drug.</w:t>
      </w:r>
    </w:p>
    <w:p w:rsidR="00A313D0" w:rsidRPr="00A313D0" w:rsidRDefault="00A313D0" w:rsidP="00A313D0">
      <w:pPr>
        <w:shd w:val="clear" w:color="auto" w:fill="FFFFFF"/>
        <w:bidi w:val="0"/>
        <w:spacing w:before="100" w:beforeAutospacing="1" w:after="100" w:afterAutospacing="1" w:line="360" w:lineRule="auto"/>
        <w:rPr>
          <w:rFonts w:asciiTheme="majorBidi" w:eastAsia="Times New Roman" w:hAnsiTheme="majorBidi" w:cstheme="majorBidi"/>
          <w:b/>
          <w:bCs/>
          <w:i/>
          <w:iCs/>
          <w:sz w:val="28"/>
          <w:szCs w:val="28"/>
          <w:lang w:val="en"/>
        </w:rPr>
      </w:pPr>
      <w:r w:rsidRPr="00A313D0">
        <w:rPr>
          <w:rFonts w:asciiTheme="majorBidi" w:eastAsia="Times New Roman" w:hAnsiTheme="majorBidi" w:cstheme="majorBidi"/>
          <w:sz w:val="28"/>
          <w:szCs w:val="28"/>
          <w:lang w:val="en"/>
        </w:rPr>
        <w:t xml:space="preserve">2-The Royal Dutch Association for the Advancement of Pharmacy </w:t>
      </w:r>
      <w:proofErr w:type="spellStart"/>
      <w:r w:rsidRPr="00A313D0">
        <w:rPr>
          <w:rFonts w:asciiTheme="majorBidi" w:eastAsia="Times New Roman" w:hAnsiTheme="majorBidi" w:cstheme="majorBidi"/>
          <w:sz w:val="28"/>
          <w:szCs w:val="28"/>
          <w:lang w:val="en"/>
        </w:rPr>
        <w:t>Pharmacogenomic</w:t>
      </w:r>
      <w:proofErr w:type="spellEnd"/>
      <w:r w:rsidRPr="00A313D0">
        <w:rPr>
          <w:rFonts w:asciiTheme="majorBidi" w:eastAsia="Times New Roman" w:hAnsiTheme="majorBidi" w:cstheme="majorBidi"/>
          <w:sz w:val="28"/>
          <w:szCs w:val="28"/>
          <w:lang w:val="en"/>
        </w:rPr>
        <w:t xml:space="preserve"> Working Group </w:t>
      </w:r>
      <w:r w:rsidRPr="00A313D0">
        <w:rPr>
          <w:rFonts w:asciiTheme="majorBidi" w:eastAsia="Times New Roman" w:hAnsiTheme="majorBidi" w:cstheme="majorBidi"/>
          <w:b/>
          <w:bCs/>
          <w:i/>
          <w:iCs/>
          <w:sz w:val="28"/>
          <w:szCs w:val="28"/>
          <w:lang w:val="en"/>
        </w:rPr>
        <w:t>(</w:t>
      </w:r>
      <w:proofErr w:type="spellStart"/>
      <w:r w:rsidRPr="00A313D0">
        <w:rPr>
          <w:rStyle w:val="mixed-citation"/>
          <w:rFonts w:asciiTheme="majorBidi" w:hAnsiTheme="majorBidi" w:cstheme="majorBidi"/>
          <w:b/>
          <w:bCs/>
          <w:i/>
          <w:iCs/>
          <w:sz w:val="28"/>
          <w:szCs w:val="28"/>
          <w:lang w:val="en"/>
        </w:rPr>
        <w:t>Swen</w:t>
      </w:r>
      <w:proofErr w:type="spellEnd"/>
      <w:r w:rsidRPr="00A313D0">
        <w:rPr>
          <w:rStyle w:val="mixed-citation"/>
          <w:rFonts w:asciiTheme="majorBidi" w:hAnsiTheme="majorBidi" w:cstheme="majorBidi"/>
          <w:b/>
          <w:bCs/>
          <w:i/>
          <w:iCs/>
          <w:sz w:val="28"/>
          <w:szCs w:val="28"/>
          <w:lang w:val="en"/>
        </w:rPr>
        <w:t xml:space="preserve"> et al., 2011):</w:t>
      </w:r>
      <w:r w:rsidRPr="00A313D0">
        <w:rPr>
          <w:rFonts w:asciiTheme="majorBidi" w:eastAsia="Times New Roman" w:hAnsiTheme="majorBidi" w:cstheme="majorBidi"/>
          <w:b/>
          <w:bCs/>
          <w:i/>
          <w:iCs/>
          <w:sz w:val="28"/>
          <w:szCs w:val="28"/>
          <w:lang w:val="en"/>
        </w:rPr>
        <w:t xml:space="preserve"> </w:t>
      </w:r>
    </w:p>
    <w:p w:rsidR="00FC210D" w:rsidRDefault="00A313D0" w:rsidP="00A313D0">
      <w:pPr>
        <w:shd w:val="clear" w:color="auto" w:fill="FFFFFF"/>
        <w:bidi w:val="0"/>
        <w:spacing w:before="100" w:beforeAutospacing="1" w:after="100" w:afterAutospacing="1" w:line="360" w:lineRule="auto"/>
        <w:jc w:val="lowKashida"/>
        <w:rPr>
          <w:rFonts w:asciiTheme="majorBidi" w:eastAsia="Times New Roman" w:hAnsiTheme="majorBidi" w:cstheme="majorBidi"/>
          <w:sz w:val="28"/>
          <w:szCs w:val="28"/>
          <w:lang w:val="en"/>
        </w:rPr>
      </w:pPr>
      <w:r w:rsidRPr="00A313D0">
        <w:rPr>
          <w:rFonts w:asciiTheme="majorBidi" w:eastAsia="Times New Roman" w:hAnsiTheme="majorBidi" w:cstheme="majorBidi"/>
          <w:sz w:val="28"/>
          <w:szCs w:val="28"/>
          <w:lang w:val="en"/>
        </w:rPr>
        <w:t xml:space="preserve">     Patients who are intermediate metabolizers based on the </w:t>
      </w:r>
      <w:r w:rsidRPr="00FC210D">
        <w:rPr>
          <w:rFonts w:asciiTheme="majorBidi" w:eastAsia="Times New Roman" w:hAnsiTheme="majorBidi" w:cstheme="majorBidi"/>
          <w:sz w:val="28"/>
          <w:szCs w:val="28"/>
          <w:lang w:val="en"/>
        </w:rPr>
        <w:t xml:space="preserve">TPMT </w:t>
      </w:r>
      <w:r w:rsidRPr="00A313D0">
        <w:rPr>
          <w:rFonts w:asciiTheme="majorBidi" w:eastAsia="Times New Roman" w:hAnsiTheme="majorBidi" w:cstheme="majorBidi"/>
          <w:sz w:val="28"/>
          <w:szCs w:val="28"/>
          <w:lang w:val="en"/>
        </w:rPr>
        <w:t xml:space="preserve">genotype or phenotype test: The dose of AZA or 6-MP should be reduced by 50% and titrated based on hematologic monitoring and efficacy, or select an alternative drug.  Patients who are poor metabolizers based on the </w:t>
      </w:r>
      <w:r w:rsidRPr="00FC210D">
        <w:rPr>
          <w:rFonts w:asciiTheme="majorBidi" w:eastAsia="Times New Roman" w:hAnsiTheme="majorBidi" w:cstheme="majorBidi"/>
          <w:sz w:val="28"/>
          <w:szCs w:val="28"/>
          <w:lang w:val="en"/>
        </w:rPr>
        <w:t xml:space="preserve">TPMT </w:t>
      </w:r>
      <w:r w:rsidRPr="00A313D0">
        <w:rPr>
          <w:rFonts w:asciiTheme="majorBidi" w:eastAsia="Times New Roman" w:hAnsiTheme="majorBidi" w:cstheme="majorBidi"/>
          <w:sz w:val="28"/>
          <w:szCs w:val="28"/>
          <w:lang w:val="en"/>
        </w:rPr>
        <w:t>genotype or phenotype test: The dose of AZA or 6-MP should be reduced by 90% and titrated based on hematologic monitoring and efficacy, or select an alternative drug. Patients who are intermediate or poor metabolizers should not be treated with TG as there are “insufficient data to allow calculation of dose adjustment.”</w:t>
      </w:r>
    </w:p>
    <w:p w:rsidR="00090C91" w:rsidRPr="0041445C" w:rsidRDefault="0041445C" w:rsidP="0041445C">
      <w:pPr>
        <w:shd w:val="clear" w:color="auto" w:fill="FFFFFF"/>
        <w:bidi w:val="0"/>
        <w:spacing w:before="100" w:beforeAutospacing="1" w:after="100" w:afterAutospacing="1" w:line="360" w:lineRule="auto"/>
        <w:jc w:val="lowKashida"/>
      </w:pPr>
      <w:r>
        <w:t xml:space="preserve"> </w:t>
      </w:r>
      <w:r w:rsidR="001744A9">
        <w:rPr>
          <w:rFonts w:asciiTheme="majorBidi" w:hAnsiTheme="majorBidi" w:cstheme="majorBidi"/>
          <w:b/>
          <w:bCs/>
          <w:sz w:val="28"/>
          <w:szCs w:val="28"/>
        </w:rPr>
        <w:t>5</w:t>
      </w:r>
      <w:r w:rsidR="001D747B" w:rsidRPr="001D747B">
        <w:rPr>
          <w:rFonts w:asciiTheme="majorBidi" w:hAnsiTheme="majorBidi" w:cstheme="majorBidi"/>
          <w:b/>
          <w:bCs/>
          <w:sz w:val="28"/>
          <w:szCs w:val="28"/>
        </w:rPr>
        <w:t>-</w:t>
      </w:r>
      <w:r w:rsidR="00090C91" w:rsidRPr="001D747B">
        <w:rPr>
          <w:rFonts w:asciiTheme="majorBidi" w:hAnsiTheme="majorBidi" w:cstheme="majorBidi"/>
          <w:b/>
          <w:bCs/>
          <w:sz w:val="28"/>
          <w:szCs w:val="28"/>
        </w:rPr>
        <w:t>Pharmaco genetic consideration of 6- MP:</w:t>
      </w:r>
    </w:p>
    <w:p w:rsidR="002F7239" w:rsidRDefault="00090C91" w:rsidP="00CE6516">
      <w:pPr>
        <w:shd w:val="clear" w:color="auto" w:fill="FFFFFF"/>
        <w:bidi w:val="0"/>
        <w:spacing w:before="100" w:beforeAutospacing="1" w:after="100" w:afterAutospacing="1" w:line="360" w:lineRule="auto"/>
        <w:jc w:val="lowKashida"/>
        <w:rPr>
          <w:rFonts w:asciiTheme="majorBidi" w:eastAsia="Times New Roman" w:hAnsiTheme="majorBidi" w:cstheme="majorBidi"/>
          <w:sz w:val="28"/>
          <w:szCs w:val="28"/>
        </w:rPr>
      </w:pPr>
      <w:r>
        <w:t xml:space="preserve">         </w:t>
      </w:r>
      <w:proofErr w:type="gramStart"/>
      <w:r w:rsidR="001D747B">
        <w:rPr>
          <w:rFonts w:asciiTheme="majorBidi" w:hAnsiTheme="majorBidi" w:cstheme="majorBidi"/>
          <w:sz w:val="28"/>
          <w:szCs w:val="28"/>
        </w:rPr>
        <w:t xml:space="preserve">Actually </w:t>
      </w:r>
      <w:r w:rsidRPr="00090C91">
        <w:rPr>
          <w:rFonts w:asciiTheme="majorBidi" w:hAnsiTheme="majorBidi" w:cstheme="majorBidi"/>
          <w:sz w:val="28"/>
          <w:szCs w:val="28"/>
        </w:rPr>
        <w:t xml:space="preserve"> TPMT</w:t>
      </w:r>
      <w:proofErr w:type="gramEnd"/>
      <w:r w:rsidRPr="00090C91">
        <w:rPr>
          <w:rFonts w:asciiTheme="majorBidi" w:hAnsiTheme="majorBidi" w:cstheme="majorBidi"/>
          <w:sz w:val="28"/>
          <w:szCs w:val="28"/>
        </w:rPr>
        <w:t xml:space="preserve"> is not the only gene that may affect 6-MP toxicity. Other genes, in particular, PACSIN2, MRP4, </w:t>
      </w:r>
      <w:proofErr w:type="gramStart"/>
      <w:r w:rsidRPr="00090C91">
        <w:rPr>
          <w:rFonts w:asciiTheme="majorBidi" w:hAnsiTheme="majorBidi" w:cstheme="majorBidi"/>
          <w:sz w:val="28"/>
          <w:szCs w:val="28"/>
        </w:rPr>
        <w:t>ITPA  have</w:t>
      </w:r>
      <w:proofErr w:type="gramEnd"/>
      <w:r w:rsidRPr="00090C91">
        <w:rPr>
          <w:rFonts w:asciiTheme="majorBidi" w:hAnsiTheme="majorBidi" w:cstheme="majorBidi"/>
          <w:sz w:val="28"/>
          <w:szCs w:val="28"/>
        </w:rPr>
        <w:t xml:space="preserve"> also been investigated</w:t>
      </w:r>
      <w:r w:rsidR="001D747B">
        <w:rPr>
          <w:rFonts w:asciiTheme="majorBidi" w:eastAsia="Times New Roman" w:hAnsiTheme="majorBidi" w:cstheme="majorBidi"/>
          <w:sz w:val="28"/>
          <w:szCs w:val="28"/>
        </w:rPr>
        <w:t>.</w:t>
      </w:r>
    </w:p>
    <w:p w:rsidR="00290B5A" w:rsidRDefault="001D747B" w:rsidP="00290B5A">
      <w:pPr>
        <w:shd w:val="clear" w:color="auto" w:fill="FFFFFF"/>
        <w:bidi w:val="0"/>
        <w:spacing w:before="100" w:beforeAutospacing="1" w:after="100" w:afterAutospacing="1" w:line="360" w:lineRule="auto"/>
        <w:jc w:val="lowKashida"/>
        <w:rPr>
          <w:rFonts w:asciiTheme="majorBidi" w:eastAsia="Times New Roman" w:hAnsiTheme="majorBidi" w:cstheme="majorBidi"/>
          <w:sz w:val="28"/>
          <w:szCs w:val="28"/>
        </w:rPr>
      </w:pPr>
      <w:r>
        <w:rPr>
          <w:rFonts w:asciiTheme="majorBidi" w:hAnsiTheme="majorBidi" w:cstheme="majorBidi"/>
          <w:sz w:val="28"/>
          <w:szCs w:val="28"/>
        </w:rPr>
        <w:t xml:space="preserve">     </w:t>
      </w:r>
      <w:r w:rsidRPr="001D747B">
        <w:rPr>
          <w:rFonts w:asciiTheme="majorBidi" w:hAnsiTheme="majorBidi" w:cstheme="majorBidi"/>
          <w:sz w:val="28"/>
          <w:szCs w:val="28"/>
        </w:rPr>
        <w:t xml:space="preserve">PACSIN2 encodes the protein kinase c and casein kinase substrate in neurons 2, which plays a role in intracellular vesicle-mediated transportation and </w:t>
      </w:r>
      <w:proofErr w:type="spellStart"/>
      <w:r w:rsidRPr="001D747B">
        <w:rPr>
          <w:rFonts w:asciiTheme="majorBidi" w:hAnsiTheme="majorBidi" w:cstheme="majorBidi"/>
          <w:sz w:val="28"/>
          <w:szCs w:val="28"/>
        </w:rPr>
        <w:t>caveolae</w:t>
      </w:r>
      <w:proofErr w:type="spellEnd"/>
      <w:r w:rsidRPr="001D747B">
        <w:rPr>
          <w:rFonts w:asciiTheme="majorBidi" w:hAnsiTheme="majorBidi" w:cstheme="majorBidi"/>
          <w:sz w:val="28"/>
          <w:szCs w:val="28"/>
        </w:rPr>
        <w:t xml:space="preserve"> formation. PACSIN2 is thought to be associated with TPMT activity and its effects on 6-MP</w:t>
      </w:r>
      <w:r>
        <w:rPr>
          <w:rFonts w:asciiTheme="majorBidi" w:eastAsia="Times New Roman" w:hAnsiTheme="majorBidi" w:cstheme="majorBidi"/>
          <w:sz w:val="28"/>
          <w:szCs w:val="28"/>
        </w:rPr>
        <w:t>.</w:t>
      </w:r>
      <w:r w:rsidRPr="001D747B">
        <w:t xml:space="preserve"> </w:t>
      </w:r>
      <w:r w:rsidRPr="001D747B">
        <w:rPr>
          <w:rFonts w:asciiTheme="majorBidi" w:hAnsiTheme="majorBidi" w:cstheme="majorBidi"/>
          <w:sz w:val="28"/>
          <w:szCs w:val="28"/>
        </w:rPr>
        <w:t xml:space="preserve">Analysis initially </w:t>
      </w:r>
      <w:r w:rsidRPr="001D747B">
        <w:rPr>
          <w:rFonts w:asciiTheme="majorBidi" w:hAnsiTheme="majorBidi" w:cstheme="majorBidi"/>
          <w:sz w:val="28"/>
          <w:szCs w:val="28"/>
        </w:rPr>
        <w:lastRenderedPageBreak/>
        <w:t>identified PACSIN2 polymorphisms, especially rs2413739 (NC_000022. 10:g.43397036C&gt;T), as a significant determinant of TPMT activity, which was later supported by clinical trials</w:t>
      </w:r>
      <w:r>
        <w:rPr>
          <w:rFonts w:asciiTheme="majorBidi" w:hAnsiTheme="majorBidi" w:cstheme="majorBidi"/>
          <w:sz w:val="28"/>
          <w:szCs w:val="28"/>
        </w:rPr>
        <w:t xml:space="preserve"> </w:t>
      </w:r>
      <w:r w:rsidRPr="00367295">
        <w:rPr>
          <w:rFonts w:asciiTheme="majorBidi" w:eastAsia="Times New Roman" w:hAnsiTheme="majorBidi" w:cstheme="majorBidi"/>
          <w:b/>
          <w:bCs/>
          <w:i/>
          <w:iCs/>
          <w:sz w:val="28"/>
          <w:szCs w:val="28"/>
        </w:rPr>
        <w:t>(</w:t>
      </w:r>
      <w:proofErr w:type="spellStart"/>
      <w:r w:rsidRPr="00367295">
        <w:rPr>
          <w:rFonts w:asciiTheme="majorBidi" w:hAnsiTheme="majorBidi" w:cstheme="majorBidi"/>
          <w:b/>
          <w:bCs/>
          <w:i/>
          <w:iCs/>
          <w:sz w:val="28"/>
          <w:szCs w:val="28"/>
        </w:rPr>
        <w:t>Stocco</w:t>
      </w:r>
      <w:proofErr w:type="spellEnd"/>
      <w:r w:rsidR="00367295" w:rsidRPr="00367295">
        <w:rPr>
          <w:rFonts w:asciiTheme="majorBidi" w:hAnsiTheme="majorBidi" w:cstheme="majorBidi"/>
          <w:b/>
          <w:bCs/>
          <w:i/>
          <w:iCs/>
          <w:sz w:val="28"/>
          <w:szCs w:val="28"/>
        </w:rPr>
        <w:t xml:space="preserve"> et al., 2012).</w:t>
      </w:r>
    </w:p>
    <w:p w:rsidR="0041445C" w:rsidRDefault="0041445C" w:rsidP="002170E2">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r w:rsidRPr="0041445C">
        <w:rPr>
          <w:rFonts w:asciiTheme="majorBidi" w:hAnsiTheme="majorBidi" w:cstheme="majorBidi"/>
          <w:sz w:val="28"/>
          <w:szCs w:val="28"/>
        </w:rPr>
        <w:t xml:space="preserve">     The multidrug resistance protein 4 (MRP4) belongs to the </w:t>
      </w:r>
      <w:proofErr w:type="spellStart"/>
      <w:r w:rsidRPr="0041445C">
        <w:rPr>
          <w:rFonts w:asciiTheme="majorBidi" w:hAnsiTheme="majorBidi" w:cstheme="majorBidi"/>
          <w:sz w:val="28"/>
          <w:szCs w:val="28"/>
        </w:rPr>
        <w:t>ATPbinding</w:t>
      </w:r>
      <w:proofErr w:type="spellEnd"/>
      <w:r w:rsidRPr="0041445C">
        <w:rPr>
          <w:rFonts w:asciiTheme="majorBidi" w:hAnsiTheme="majorBidi" w:cstheme="majorBidi"/>
          <w:sz w:val="28"/>
          <w:szCs w:val="28"/>
        </w:rPr>
        <w:t xml:space="preserve"> cassette transporter superfamily.</w:t>
      </w:r>
      <w:r>
        <w:rPr>
          <w:rFonts w:asciiTheme="majorBidi" w:hAnsiTheme="majorBidi" w:cstheme="majorBidi"/>
          <w:sz w:val="28"/>
          <w:szCs w:val="28"/>
        </w:rPr>
        <w:t xml:space="preserve"> </w:t>
      </w:r>
      <w:r w:rsidRPr="0041445C">
        <w:rPr>
          <w:rFonts w:asciiTheme="majorBidi" w:hAnsiTheme="majorBidi" w:cstheme="majorBidi"/>
          <w:sz w:val="28"/>
          <w:szCs w:val="28"/>
        </w:rPr>
        <w:t xml:space="preserve"> MRP4 is primarily involved in the efflux of nucleoside derivatives and has a role in the determination of drug sensitivity. It has the ability to transport anticancer drugs such as </w:t>
      </w:r>
      <w:proofErr w:type="spellStart"/>
      <w:r w:rsidRPr="0041445C">
        <w:rPr>
          <w:rFonts w:asciiTheme="majorBidi" w:hAnsiTheme="majorBidi" w:cstheme="majorBidi"/>
          <w:sz w:val="28"/>
          <w:szCs w:val="28"/>
        </w:rPr>
        <w:t>thiopurines</w:t>
      </w:r>
      <w:proofErr w:type="spellEnd"/>
      <w:r w:rsidRPr="0041445C">
        <w:rPr>
          <w:rFonts w:asciiTheme="majorBidi" w:hAnsiTheme="majorBidi" w:cstheme="majorBidi"/>
          <w:sz w:val="28"/>
          <w:szCs w:val="28"/>
        </w:rPr>
        <w:t xml:space="preserve"> and MTX, and is expressed in various blood cells</w:t>
      </w:r>
      <w:r>
        <w:rPr>
          <w:rFonts w:asciiTheme="majorBidi" w:hAnsiTheme="majorBidi" w:cstheme="majorBidi"/>
          <w:sz w:val="28"/>
          <w:szCs w:val="28"/>
        </w:rPr>
        <w:t xml:space="preserve"> </w:t>
      </w:r>
      <w:r w:rsidRPr="0041445C">
        <w:rPr>
          <w:rFonts w:asciiTheme="majorBidi" w:hAnsiTheme="majorBidi" w:cstheme="majorBidi"/>
          <w:sz w:val="28"/>
          <w:szCs w:val="28"/>
        </w:rPr>
        <w:t>and several tissues such as the prostate, liver, testis, ovary, kidney,</w:t>
      </w:r>
      <w:r>
        <w:rPr>
          <w:rFonts w:asciiTheme="majorBidi" w:hAnsiTheme="majorBidi" w:cstheme="majorBidi"/>
          <w:sz w:val="28"/>
          <w:szCs w:val="28"/>
        </w:rPr>
        <w:t xml:space="preserve"> brain and adrenal gland </w:t>
      </w:r>
      <w:r w:rsidRPr="002170E2">
        <w:rPr>
          <w:rFonts w:asciiTheme="majorBidi" w:hAnsiTheme="majorBidi" w:cstheme="majorBidi"/>
          <w:b/>
          <w:bCs/>
          <w:i/>
          <w:iCs/>
          <w:sz w:val="28"/>
          <w:szCs w:val="28"/>
        </w:rPr>
        <w:t>(</w:t>
      </w:r>
      <w:r w:rsidR="002170E2" w:rsidRPr="002170E2">
        <w:rPr>
          <w:rFonts w:asciiTheme="majorBidi" w:hAnsiTheme="majorBidi" w:cstheme="majorBidi"/>
          <w:b/>
          <w:bCs/>
          <w:i/>
          <w:iCs/>
          <w:sz w:val="28"/>
          <w:szCs w:val="28"/>
        </w:rPr>
        <w:t>Ritter et al., 2005</w:t>
      </w:r>
      <w:r w:rsidRPr="002170E2">
        <w:rPr>
          <w:rFonts w:asciiTheme="majorBidi" w:hAnsiTheme="majorBidi" w:cstheme="majorBidi"/>
          <w:b/>
          <w:bCs/>
          <w:i/>
          <w:iCs/>
          <w:sz w:val="28"/>
          <w:szCs w:val="28"/>
        </w:rPr>
        <w:t>).</w:t>
      </w:r>
    </w:p>
    <w:p w:rsidR="0041445C" w:rsidRDefault="0041445C" w:rsidP="002170E2">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r>
        <w:t xml:space="preserve">       </w:t>
      </w:r>
      <w:r w:rsidRPr="0041445C">
        <w:rPr>
          <w:rFonts w:asciiTheme="majorBidi" w:hAnsiTheme="majorBidi" w:cstheme="majorBidi"/>
          <w:sz w:val="28"/>
          <w:szCs w:val="28"/>
        </w:rPr>
        <w:t xml:space="preserve">Cells expressing MRP4 are resistant to </w:t>
      </w:r>
      <w:proofErr w:type="spellStart"/>
      <w:r w:rsidRPr="0041445C">
        <w:rPr>
          <w:rFonts w:asciiTheme="majorBidi" w:hAnsiTheme="majorBidi" w:cstheme="majorBidi"/>
          <w:sz w:val="28"/>
          <w:szCs w:val="28"/>
        </w:rPr>
        <w:t>thiopurine</w:t>
      </w:r>
      <w:proofErr w:type="spellEnd"/>
      <w:r w:rsidRPr="0041445C">
        <w:rPr>
          <w:rFonts w:asciiTheme="majorBidi" w:hAnsiTheme="majorBidi" w:cstheme="majorBidi"/>
          <w:sz w:val="28"/>
          <w:szCs w:val="28"/>
        </w:rPr>
        <w:t>-induced myelotoxicity because of their ability to export 6-thioguanine nucleotides from the cells. On the other hand, MTX accumulates in the cells with low expression levels of MRP4. Therefore, we hypothesized that MRP4 genotype was related to therapeutic effect in maintenance therapy for ALL. In Japanese population, the frequency of missense variants in MRP4 G2269A, C912A and G559T, located in the coding region of MRP4</w:t>
      </w:r>
      <w:r w:rsidR="002170E2">
        <w:rPr>
          <w:rFonts w:asciiTheme="majorBidi" w:hAnsiTheme="majorBidi" w:cstheme="majorBidi"/>
          <w:sz w:val="28"/>
          <w:szCs w:val="28"/>
        </w:rPr>
        <w:t xml:space="preserve"> </w:t>
      </w:r>
      <w:r w:rsidR="002170E2" w:rsidRPr="002170E2">
        <w:rPr>
          <w:rFonts w:asciiTheme="majorBidi" w:eastAsia="Times New Roman" w:hAnsiTheme="majorBidi" w:cstheme="majorBidi"/>
          <w:b/>
          <w:bCs/>
          <w:i/>
          <w:iCs/>
          <w:sz w:val="28"/>
          <w:szCs w:val="28"/>
        </w:rPr>
        <w:t>(</w:t>
      </w:r>
      <w:r w:rsidR="002170E2" w:rsidRPr="002170E2">
        <w:rPr>
          <w:rFonts w:asciiTheme="majorBidi" w:hAnsiTheme="majorBidi" w:cstheme="majorBidi"/>
          <w:b/>
          <w:bCs/>
          <w:i/>
          <w:iCs/>
          <w:sz w:val="28"/>
          <w:szCs w:val="28"/>
        </w:rPr>
        <w:t>Krishnamurthy</w:t>
      </w:r>
      <w:r w:rsidR="002170E2">
        <w:rPr>
          <w:rFonts w:asciiTheme="majorBidi" w:eastAsia="Times New Roman" w:hAnsiTheme="majorBidi" w:cstheme="majorBidi"/>
          <w:b/>
          <w:bCs/>
          <w:i/>
          <w:iCs/>
          <w:sz w:val="28"/>
          <w:szCs w:val="28"/>
        </w:rPr>
        <w:t xml:space="preserve"> et </w:t>
      </w:r>
      <w:r w:rsidR="002170E2" w:rsidRPr="002170E2">
        <w:rPr>
          <w:rFonts w:asciiTheme="majorBidi" w:eastAsia="Times New Roman" w:hAnsiTheme="majorBidi" w:cstheme="majorBidi"/>
          <w:b/>
          <w:bCs/>
          <w:i/>
          <w:iCs/>
          <w:sz w:val="28"/>
          <w:szCs w:val="28"/>
        </w:rPr>
        <w:t>al.</w:t>
      </w:r>
      <w:proofErr w:type="gramStart"/>
      <w:r w:rsidR="002170E2" w:rsidRPr="002170E2">
        <w:rPr>
          <w:rFonts w:asciiTheme="majorBidi" w:eastAsia="Times New Roman" w:hAnsiTheme="majorBidi" w:cstheme="majorBidi"/>
          <w:b/>
          <w:bCs/>
          <w:i/>
          <w:iCs/>
          <w:sz w:val="28"/>
          <w:szCs w:val="28"/>
        </w:rPr>
        <w:t>,2008</w:t>
      </w:r>
      <w:proofErr w:type="gramEnd"/>
      <w:r w:rsidR="002170E2" w:rsidRPr="002170E2">
        <w:rPr>
          <w:rFonts w:asciiTheme="majorBidi" w:eastAsia="Times New Roman" w:hAnsiTheme="majorBidi" w:cstheme="majorBidi"/>
          <w:b/>
          <w:bCs/>
          <w:i/>
          <w:iCs/>
          <w:sz w:val="28"/>
          <w:szCs w:val="28"/>
        </w:rPr>
        <w:t>).</w:t>
      </w:r>
    </w:p>
    <w:p w:rsidR="002170E2" w:rsidRDefault="00094AE7" w:rsidP="00094AE7">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r>
        <w:t xml:space="preserve">       </w:t>
      </w:r>
      <w:r w:rsidRPr="00094AE7">
        <w:rPr>
          <w:rFonts w:asciiTheme="majorBidi" w:hAnsiTheme="majorBidi" w:cstheme="majorBidi"/>
          <w:sz w:val="28"/>
          <w:szCs w:val="28"/>
        </w:rPr>
        <w:t>The genetic polymorphism of MRP4 C912A changed the expression amount of MRP4 in liver of patients with variant alell</w:t>
      </w:r>
      <w:r w:rsidRPr="00094AE7">
        <w:rPr>
          <w:rFonts w:asciiTheme="majorBidi" w:hAnsiTheme="majorBidi" w:cstheme="majorBidi"/>
        </w:rPr>
        <w:t>.</w:t>
      </w:r>
      <w:r>
        <w:rPr>
          <w:rFonts w:asciiTheme="majorBidi" w:hAnsiTheme="majorBidi" w:cstheme="majorBidi"/>
          <w:sz w:val="28"/>
          <w:szCs w:val="28"/>
        </w:rPr>
        <w:t xml:space="preserve"> </w:t>
      </w:r>
      <w:r w:rsidR="002170E2" w:rsidRPr="00094AE7">
        <w:rPr>
          <w:rFonts w:asciiTheme="majorBidi" w:hAnsiTheme="majorBidi" w:cstheme="majorBidi"/>
          <w:sz w:val="28"/>
          <w:szCs w:val="28"/>
        </w:rPr>
        <w:t>The genetic variant of MRP4 G2269A also induces a lower expression of MRP4 protein, and the bone marrow cells expressing lower level of MRP4 protein di</w:t>
      </w:r>
      <w:r w:rsidRPr="00094AE7">
        <w:rPr>
          <w:rFonts w:asciiTheme="majorBidi" w:hAnsiTheme="majorBidi" w:cstheme="majorBidi"/>
          <w:sz w:val="28"/>
          <w:szCs w:val="28"/>
        </w:rPr>
        <w:t>splay enhanced 6-MP sensitivity</w:t>
      </w:r>
      <w:r>
        <w:rPr>
          <w:rFonts w:asciiTheme="majorBidi" w:eastAsia="Times New Roman" w:hAnsiTheme="majorBidi" w:cstheme="majorBidi"/>
          <w:b/>
          <w:bCs/>
          <w:i/>
          <w:iCs/>
          <w:sz w:val="28"/>
          <w:szCs w:val="28"/>
        </w:rPr>
        <w:t xml:space="preserve"> </w:t>
      </w:r>
      <w:r w:rsidRPr="00094AE7">
        <w:rPr>
          <w:rFonts w:asciiTheme="majorBidi" w:eastAsia="Times New Roman" w:hAnsiTheme="majorBidi" w:cstheme="majorBidi"/>
          <w:b/>
          <w:bCs/>
          <w:i/>
          <w:iCs/>
          <w:sz w:val="28"/>
          <w:szCs w:val="28"/>
        </w:rPr>
        <w:t>(</w:t>
      </w:r>
      <w:proofErr w:type="spellStart"/>
      <w:r w:rsidRPr="00094AE7">
        <w:rPr>
          <w:rFonts w:asciiTheme="majorBidi" w:hAnsiTheme="majorBidi" w:cstheme="majorBidi"/>
          <w:b/>
          <w:bCs/>
          <w:i/>
          <w:iCs/>
          <w:sz w:val="28"/>
          <w:szCs w:val="28"/>
        </w:rPr>
        <w:t>Gradhand</w:t>
      </w:r>
      <w:proofErr w:type="spellEnd"/>
      <w:r w:rsidRPr="00094AE7">
        <w:rPr>
          <w:rFonts w:asciiTheme="majorBidi" w:eastAsia="Times New Roman" w:hAnsiTheme="majorBidi" w:cstheme="majorBidi"/>
          <w:b/>
          <w:bCs/>
          <w:i/>
          <w:iCs/>
          <w:sz w:val="28"/>
          <w:szCs w:val="28"/>
        </w:rPr>
        <w:t xml:space="preserve"> et al., 2008).</w:t>
      </w:r>
    </w:p>
    <w:p w:rsidR="00697EFE" w:rsidRDefault="00094AE7" w:rsidP="00094AE7">
      <w:pPr>
        <w:shd w:val="clear" w:color="auto" w:fill="FFFFFF"/>
        <w:bidi w:val="0"/>
        <w:spacing w:before="100" w:beforeAutospacing="1" w:after="100" w:afterAutospacing="1"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p>
    <w:p w:rsidR="00697EFE" w:rsidRDefault="00697EFE" w:rsidP="00697EFE">
      <w:pPr>
        <w:shd w:val="clear" w:color="auto" w:fill="FFFFFF"/>
        <w:bidi w:val="0"/>
        <w:spacing w:before="100" w:beforeAutospacing="1" w:after="100" w:afterAutospacing="1" w:line="360" w:lineRule="auto"/>
        <w:jc w:val="lowKashida"/>
        <w:rPr>
          <w:rFonts w:asciiTheme="majorBidi" w:hAnsiTheme="majorBidi" w:cstheme="majorBidi"/>
          <w:sz w:val="28"/>
          <w:szCs w:val="28"/>
        </w:rPr>
      </w:pPr>
    </w:p>
    <w:p w:rsidR="00697EFE" w:rsidRDefault="00697EFE" w:rsidP="00697EFE">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r>
        <w:rPr>
          <w:rFonts w:asciiTheme="majorBidi" w:hAnsiTheme="majorBidi" w:cstheme="majorBidi"/>
          <w:sz w:val="28"/>
          <w:szCs w:val="28"/>
        </w:rPr>
        <w:lastRenderedPageBreak/>
        <w:t xml:space="preserve">     </w:t>
      </w:r>
      <w:r w:rsidR="00094AE7" w:rsidRPr="00094AE7">
        <w:rPr>
          <w:rFonts w:asciiTheme="majorBidi" w:hAnsiTheme="majorBidi" w:cstheme="majorBidi"/>
          <w:sz w:val="28"/>
          <w:szCs w:val="28"/>
        </w:rPr>
        <w:t>In Japanese population, the frequency of missense variants in MRP4 G2269A, C912A and G559T, located in the coding region of MRP4, are 0.19, 0.30 and 0.14, respectively, which are relatively higher than that in Caucasian population (</w:t>
      </w:r>
      <w:r w:rsidR="00094AE7">
        <w:rPr>
          <w:rFonts w:asciiTheme="majorBidi" w:hAnsiTheme="majorBidi" w:cstheme="majorBidi"/>
          <w:sz w:val="28"/>
          <w:szCs w:val="28"/>
        </w:rPr>
        <w:t xml:space="preserve">0.01, 0.02 and 0, respectively) </w:t>
      </w:r>
      <w:r w:rsidR="00094AE7" w:rsidRPr="00094AE7">
        <w:rPr>
          <w:rFonts w:asciiTheme="majorBidi" w:hAnsiTheme="majorBidi" w:cstheme="majorBidi"/>
          <w:b/>
          <w:bCs/>
          <w:i/>
          <w:iCs/>
          <w:sz w:val="28"/>
          <w:szCs w:val="28"/>
        </w:rPr>
        <w:t>(Tanaka</w:t>
      </w:r>
      <w:r w:rsidR="00290B5A">
        <w:rPr>
          <w:rFonts w:asciiTheme="majorBidi" w:eastAsia="Times New Roman" w:hAnsiTheme="majorBidi" w:cstheme="majorBidi"/>
          <w:b/>
          <w:bCs/>
          <w:i/>
          <w:iCs/>
          <w:sz w:val="28"/>
          <w:szCs w:val="28"/>
        </w:rPr>
        <w:t xml:space="preserve"> et al., 2015).</w:t>
      </w:r>
    </w:p>
    <w:p w:rsidR="00290B5A" w:rsidRPr="00697EFE" w:rsidRDefault="00697EFE" w:rsidP="00697EFE">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r>
        <w:rPr>
          <w:rFonts w:asciiTheme="majorBidi" w:eastAsia="Times New Roman" w:hAnsiTheme="majorBidi" w:cstheme="majorBidi"/>
          <w:b/>
          <w:bCs/>
          <w:i/>
          <w:iCs/>
          <w:sz w:val="28"/>
          <w:szCs w:val="28"/>
        </w:rPr>
        <w:t xml:space="preserve">     </w:t>
      </w:r>
      <w:r w:rsidR="00290B5A">
        <w:rPr>
          <w:rFonts w:asciiTheme="majorBidi" w:hAnsiTheme="majorBidi" w:cstheme="majorBidi"/>
          <w:sz w:val="28"/>
          <w:szCs w:val="28"/>
        </w:rPr>
        <w:t xml:space="preserve"> </w:t>
      </w:r>
      <w:r w:rsidR="00290B5A" w:rsidRPr="00290B5A">
        <w:rPr>
          <w:rFonts w:asciiTheme="majorBidi" w:hAnsiTheme="majorBidi" w:cstheme="majorBidi"/>
          <w:sz w:val="28"/>
          <w:szCs w:val="28"/>
        </w:rPr>
        <w:t xml:space="preserve">ITPA is another enzyme involved in 6-MP metabolism. This enzyme catalyzes the hydrolysis of inosine triphosphate (ITP) to inosine monophosphate (IMP), protecting cells from the accumulation of harmful nucleotides such as ITP and </w:t>
      </w:r>
      <w:proofErr w:type="spellStart"/>
      <w:r w:rsidR="00290B5A" w:rsidRPr="00290B5A">
        <w:rPr>
          <w:rFonts w:asciiTheme="majorBidi" w:hAnsiTheme="majorBidi" w:cstheme="majorBidi"/>
          <w:sz w:val="28"/>
          <w:szCs w:val="28"/>
        </w:rPr>
        <w:t>deoxyinosine</w:t>
      </w:r>
      <w:proofErr w:type="spellEnd"/>
      <w:r w:rsidR="00290B5A" w:rsidRPr="00290B5A">
        <w:rPr>
          <w:rFonts w:asciiTheme="majorBidi" w:hAnsiTheme="majorBidi" w:cstheme="majorBidi"/>
          <w:sz w:val="28"/>
          <w:szCs w:val="28"/>
        </w:rPr>
        <w:t xml:space="preserve"> triphosphate. A C198A </w:t>
      </w:r>
      <w:proofErr w:type="spellStart"/>
      <w:r w:rsidR="00290B5A" w:rsidRPr="00290B5A">
        <w:rPr>
          <w:rFonts w:asciiTheme="majorBidi" w:hAnsiTheme="majorBidi" w:cstheme="majorBidi"/>
          <w:sz w:val="28"/>
          <w:szCs w:val="28"/>
        </w:rPr>
        <w:t>transversion</w:t>
      </w:r>
      <w:proofErr w:type="spellEnd"/>
      <w:r w:rsidR="00290B5A" w:rsidRPr="00290B5A">
        <w:rPr>
          <w:rFonts w:asciiTheme="majorBidi" w:hAnsiTheme="majorBidi" w:cstheme="majorBidi"/>
          <w:sz w:val="28"/>
          <w:szCs w:val="28"/>
        </w:rPr>
        <w:t xml:space="preserve"> (rs1127354) causing a Proline to Threonine replacement at codo</w:t>
      </w:r>
      <w:r w:rsidR="00290B5A">
        <w:rPr>
          <w:rFonts w:asciiTheme="majorBidi" w:hAnsiTheme="majorBidi" w:cstheme="majorBidi"/>
          <w:sz w:val="28"/>
          <w:szCs w:val="28"/>
        </w:rPr>
        <w:t xml:space="preserve">n 32 (P32T polymorphism) is the </w:t>
      </w:r>
      <w:r w:rsidR="00290B5A" w:rsidRPr="00290B5A">
        <w:rPr>
          <w:rFonts w:asciiTheme="majorBidi" w:hAnsiTheme="majorBidi" w:cstheme="majorBidi"/>
          <w:sz w:val="28"/>
          <w:szCs w:val="28"/>
        </w:rPr>
        <w:t xml:space="preserve">most relevant SNP determining low ITPA enzymatic activity </w:t>
      </w:r>
      <w:r w:rsidR="00290B5A" w:rsidRPr="00290B5A">
        <w:rPr>
          <w:rFonts w:asciiTheme="majorBidi" w:hAnsiTheme="majorBidi" w:cstheme="majorBidi"/>
          <w:b/>
          <w:bCs/>
          <w:i/>
          <w:iCs/>
          <w:sz w:val="28"/>
          <w:szCs w:val="28"/>
        </w:rPr>
        <w:t>(</w:t>
      </w:r>
      <w:proofErr w:type="spellStart"/>
      <w:r w:rsidR="00290B5A" w:rsidRPr="00290B5A">
        <w:rPr>
          <w:rFonts w:asciiTheme="majorBidi" w:hAnsiTheme="majorBidi" w:cstheme="majorBidi"/>
          <w:b/>
          <w:bCs/>
          <w:i/>
          <w:iCs/>
          <w:sz w:val="28"/>
          <w:szCs w:val="28"/>
        </w:rPr>
        <w:t>Stocco</w:t>
      </w:r>
      <w:proofErr w:type="spellEnd"/>
      <w:r w:rsidR="00290B5A" w:rsidRPr="00290B5A">
        <w:rPr>
          <w:rFonts w:asciiTheme="majorBidi" w:hAnsiTheme="majorBidi" w:cstheme="majorBidi"/>
          <w:b/>
          <w:bCs/>
          <w:i/>
          <w:iCs/>
          <w:sz w:val="28"/>
          <w:szCs w:val="28"/>
        </w:rPr>
        <w:t xml:space="preserve"> et al., 2009).</w:t>
      </w:r>
    </w:p>
    <w:p w:rsidR="00290B5A" w:rsidRPr="00D64848" w:rsidRDefault="00D64848" w:rsidP="00D64848">
      <w:pPr>
        <w:autoSpaceDE w:val="0"/>
        <w:autoSpaceDN w:val="0"/>
        <w:bidi w:val="0"/>
        <w:adjustRightInd w:val="0"/>
        <w:spacing w:after="0" w:line="360" w:lineRule="auto"/>
        <w:jc w:val="lowKashida"/>
        <w:rPr>
          <w:rFonts w:asciiTheme="majorBidi" w:hAnsiTheme="majorBidi" w:cstheme="majorBidi"/>
          <w:b/>
          <w:bCs/>
          <w:i/>
          <w:iCs/>
          <w:sz w:val="28"/>
          <w:szCs w:val="28"/>
        </w:rPr>
      </w:pPr>
      <w:r>
        <w:t xml:space="preserve">      </w:t>
      </w:r>
      <w:r w:rsidR="00290B5A" w:rsidRPr="00D64848">
        <w:rPr>
          <w:rFonts w:asciiTheme="majorBidi" w:hAnsiTheme="majorBidi" w:cstheme="majorBidi"/>
          <w:sz w:val="28"/>
          <w:szCs w:val="28"/>
        </w:rPr>
        <w:t xml:space="preserve">The distribution of P32T polymorphism varies from 1% to 15%. </w:t>
      </w:r>
      <w:proofErr w:type="gramStart"/>
      <w:r>
        <w:rPr>
          <w:rFonts w:asciiTheme="majorBidi" w:hAnsiTheme="majorBidi" w:cstheme="majorBidi"/>
          <w:sz w:val="28"/>
          <w:szCs w:val="28"/>
        </w:rPr>
        <w:t xml:space="preserve">Recent </w:t>
      </w:r>
      <w:r w:rsidR="00290B5A" w:rsidRPr="00D64848">
        <w:rPr>
          <w:rFonts w:asciiTheme="majorBidi" w:hAnsiTheme="majorBidi" w:cstheme="majorBidi"/>
          <w:sz w:val="28"/>
          <w:szCs w:val="28"/>
        </w:rPr>
        <w:t xml:space="preserve"> stud</w:t>
      </w:r>
      <w:r>
        <w:rPr>
          <w:rFonts w:asciiTheme="majorBidi" w:hAnsiTheme="majorBidi" w:cstheme="majorBidi"/>
          <w:sz w:val="28"/>
          <w:szCs w:val="28"/>
        </w:rPr>
        <w:t>ied</w:t>
      </w:r>
      <w:proofErr w:type="gramEnd"/>
      <w:r>
        <w:rPr>
          <w:rFonts w:asciiTheme="majorBidi" w:hAnsiTheme="majorBidi" w:cstheme="majorBidi"/>
          <w:sz w:val="28"/>
          <w:szCs w:val="28"/>
        </w:rPr>
        <w:t xml:space="preserve"> </w:t>
      </w:r>
      <w:r w:rsidR="00290B5A" w:rsidRPr="00D64848">
        <w:rPr>
          <w:rFonts w:asciiTheme="majorBidi" w:hAnsiTheme="majorBidi" w:cstheme="majorBidi"/>
          <w:sz w:val="28"/>
          <w:szCs w:val="28"/>
        </w:rPr>
        <w:t xml:space="preserve"> found that the prevalence of ITPA was 1% in ALL patients </w:t>
      </w:r>
      <w:r>
        <w:rPr>
          <w:rFonts w:asciiTheme="majorBidi" w:hAnsiTheme="majorBidi" w:cstheme="majorBidi"/>
          <w:sz w:val="28"/>
          <w:szCs w:val="28"/>
        </w:rPr>
        <w:t xml:space="preserve"> and did not notice any </w:t>
      </w:r>
      <w:r w:rsidR="00290B5A" w:rsidRPr="00D64848">
        <w:rPr>
          <w:rFonts w:asciiTheme="majorBidi" w:hAnsiTheme="majorBidi" w:cstheme="majorBidi"/>
          <w:sz w:val="28"/>
          <w:szCs w:val="28"/>
        </w:rPr>
        <w:t xml:space="preserve"> differences in 6-MP toxicity or dosage in patients carrying the P32T polymorphism compared to wild type patients</w:t>
      </w:r>
      <w:r>
        <w:rPr>
          <w:rFonts w:asciiTheme="majorBidi" w:hAnsiTheme="majorBidi" w:cstheme="majorBidi"/>
          <w:sz w:val="28"/>
          <w:szCs w:val="28"/>
        </w:rPr>
        <w:t>. A</w:t>
      </w:r>
      <w:r w:rsidR="00290B5A" w:rsidRPr="00D64848">
        <w:rPr>
          <w:rFonts w:asciiTheme="majorBidi" w:hAnsiTheme="majorBidi" w:cstheme="majorBidi"/>
          <w:sz w:val="28"/>
          <w:szCs w:val="28"/>
        </w:rPr>
        <w:t xml:space="preserve"> situation might be explained by the low the prevalence for ITPA found in this study. A recent study supports the importance of this polymorphism when 6-MP dosages had been adjusted for TPMT genotype</w:t>
      </w:r>
      <w:r>
        <w:rPr>
          <w:rFonts w:asciiTheme="majorBidi" w:hAnsiTheme="majorBidi" w:cstheme="majorBidi"/>
          <w:sz w:val="28"/>
          <w:szCs w:val="28"/>
        </w:rPr>
        <w:t xml:space="preserve"> </w:t>
      </w:r>
      <w:r w:rsidRPr="00D64848">
        <w:rPr>
          <w:rFonts w:asciiTheme="majorBidi" w:hAnsiTheme="majorBidi" w:cstheme="majorBidi"/>
          <w:b/>
          <w:bCs/>
          <w:i/>
          <w:iCs/>
          <w:sz w:val="28"/>
          <w:szCs w:val="28"/>
        </w:rPr>
        <w:t>(</w:t>
      </w:r>
      <w:proofErr w:type="spellStart"/>
      <w:r w:rsidRPr="00D64848">
        <w:rPr>
          <w:rFonts w:asciiTheme="majorBidi" w:hAnsiTheme="majorBidi" w:cstheme="majorBidi"/>
          <w:b/>
          <w:bCs/>
          <w:i/>
          <w:iCs/>
          <w:sz w:val="28"/>
          <w:szCs w:val="28"/>
        </w:rPr>
        <w:t>Stocco</w:t>
      </w:r>
      <w:proofErr w:type="spellEnd"/>
      <w:r w:rsidRPr="00D64848">
        <w:rPr>
          <w:rFonts w:asciiTheme="majorBidi" w:hAnsiTheme="majorBidi" w:cstheme="majorBidi"/>
          <w:b/>
          <w:bCs/>
          <w:i/>
          <w:iCs/>
          <w:sz w:val="28"/>
          <w:szCs w:val="28"/>
        </w:rPr>
        <w:t xml:space="preserve"> et al., 2010).</w:t>
      </w:r>
    </w:p>
    <w:p w:rsidR="00C45CD5" w:rsidRPr="00290B5A" w:rsidRDefault="00C45CD5" w:rsidP="00C45CD5">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p>
    <w:p w:rsidR="00C45CD5" w:rsidRPr="00094AE7" w:rsidRDefault="00C45CD5" w:rsidP="00C45CD5">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p>
    <w:p w:rsidR="002170E2" w:rsidRPr="0041445C" w:rsidRDefault="002170E2" w:rsidP="002170E2">
      <w:pPr>
        <w:shd w:val="clear" w:color="auto" w:fill="FFFFFF"/>
        <w:bidi w:val="0"/>
        <w:spacing w:before="100" w:beforeAutospacing="1" w:after="100" w:afterAutospacing="1" w:line="360" w:lineRule="auto"/>
        <w:jc w:val="lowKashida"/>
        <w:rPr>
          <w:rFonts w:asciiTheme="majorBidi" w:eastAsia="Times New Roman" w:hAnsiTheme="majorBidi" w:cstheme="majorBidi"/>
          <w:b/>
          <w:bCs/>
          <w:i/>
          <w:iCs/>
          <w:sz w:val="28"/>
          <w:szCs w:val="28"/>
        </w:rPr>
      </w:pPr>
    </w:p>
    <w:p w:rsidR="00A313D0" w:rsidRPr="00A313D0" w:rsidRDefault="00A313D0" w:rsidP="00FC210D">
      <w:pPr>
        <w:shd w:val="clear" w:color="auto" w:fill="FFFFFF"/>
        <w:bidi w:val="0"/>
        <w:spacing w:before="100" w:beforeAutospacing="1" w:after="100" w:afterAutospacing="1" w:line="360" w:lineRule="auto"/>
        <w:jc w:val="lowKashida"/>
        <w:rPr>
          <w:rFonts w:asciiTheme="majorBidi" w:eastAsia="Times New Roman" w:hAnsiTheme="majorBidi" w:cstheme="majorBidi"/>
          <w:sz w:val="28"/>
          <w:szCs w:val="28"/>
          <w:lang w:val="en"/>
        </w:rPr>
      </w:pPr>
      <w:r w:rsidRPr="00A313D0">
        <w:rPr>
          <w:rFonts w:asciiTheme="majorBidi" w:eastAsia="Times New Roman" w:hAnsiTheme="majorBidi" w:cstheme="majorBidi"/>
          <w:sz w:val="28"/>
          <w:szCs w:val="28"/>
          <w:lang w:val="en"/>
        </w:rPr>
        <w:t xml:space="preserve"> </w:t>
      </w:r>
    </w:p>
    <w:p w:rsidR="00A313D0" w:rsidRPr="00C60892" w:rsidRDefault="00A313D0" w:rsidP="00A313D0">
      <w:pPr>
        <w:bidi w:val="0"/>
        <w:spacing w:before="100" w:beforeAutospacing="1" w:after="100" w:afterAutospacing="1" w:line="360" w:lineRule="auto"/>
        <w:jc w:val="both"/>
        <w:rPr>
          <w:rFonts w:asciiTheme="majorBidi" w:hAnsiTheme="majorBidi" w:cstheme="majorBidi"/>
          <w:b/>
          <w:bCs/>
          <w:sz w:val="28"/>
          <w:szCs w:val="28"/>
          <w:lang w:val="en"/>
        </w:rPr>
      </w:pPr>
    </w:p>
    <w:p w:rsidR="00C60892" w:rsidRPr="00C60892" w:rsidRDefault="00C60892" w:rsidP="00C60892">
      <w:pPr>
        <w:bidi w:val="0"/>
        <w:spacing w:before="100" w:beforeAutospacing="1" w:after="100" w:afterAutospacing="1" w:line="360" w:lineRule="auto"/>
        <w:jc w:val="both"/>
        <w:rPr>
          <w:rFonts w:asciiTheme="majorBidi" w:hAnsiTheme="majorBidi" w:cstheme="majorBidi"/>
          <w:b/>
          <w:bCs/>
          <w:sz w:val="28"/>
          <w:szCs w:val="28"/>
          <w:lang w:val="en"/>
        </w:rPr>
      </w:pPr>
    </w:p>
    <w:p w:rsidR="00841045" w:rsidRPr="00841045" w:rsidRDefault="00841045" w:rsidP="00C60892">
      <w:pPr>
        <w:bidi w:val="0"/>
        <w:spacing w:before="100" w:beforeAutospacing="1" w:after="100" w:afterAutospacing="1" w:line="360" w:lineRule="auto"/>
        <w:jc w:val="lowKashida"/>
        <w:rPr>
          <w:rFonts w:asciiTheme="majorBidi" w:hAnsiTheme="majorBidi" w:cstheme="majorBidi"/>
          <w:b/>
          <w:bCs/>
          <w:i/>
          <w:iCs/>
          <w:sz w:val="28"/>
          <w:szCs w:val="28"/>
        </w:rPr>
      </w:pPr>
      <w:r w:rsidRPr="00841045">
        <w:rPr>
          <w:rFonts w:asciiTheme="majorBidi" w:hAnsiTheme="majorBidi" w:cstheme="majorBidi"/>
          <w:sz w:val="28"/>
          <w:szCs w:val="28"/>
        </w:rPr>
        <w:t xml:space="preserve"> </w:t>
      </w:r>
    </w:p>
    <w:p w:rsidR="00623D76" w:rsidRDefault="00623D76" w:rsidP="00BB0913">
      <w:pPr>
        <w:bidi w:val="0"/>
        <w:spacing w:before="100" w:beforeAutospacing="1" w:after="100" w:afterAutospacing="1" w:line="360" w:lineRule="auto"/>
        <w:jc w:val="both"/>
        <w:rPr>
          <w:rFonts w:asciiTheme="majorBidi" w:hAnsiTheme="majorBidi" w:cstheme="majorBidi"/>
          <w:sz w:val="28"/>
          <w:szCs w:val="28"/>
        </w:rPr>
      </w:pPr>
    </w:p>
    <w:p w:rsidR="00373A40" w:rsidRPr="00373A40" w:rsidRDefault="00373A40" w:rsidP="00373A40">
      <w:pPr>
        <w:bidi w:val="0"/>
        <w:spacing w:before="100" w:beforeAutospacing="1" w:after="100" w:afterAutospacing="1" w:line="360" w:lineRule="auto"/>
        <w:jc w:val="both"/>
        <w:rPr>
          <w:rFonts w:asciiTheme="majorBidi" w:hAnsiTheme="majorBidi" w:cstheme="majorBidi"/>
          <w:sz w:val="28"/>
          <w:szCs w:val="28"/>
          <w:rtl/>
        </w:rPr>
      </w:pPr>
    </w:p>
    <w:p w:rsidR="007422A1" w:rsidRPr="00123EF4" w:rsidRDefault="007422A1" w:rsidP="00835C50">
      <w:pPr>
        <w:pStyle w:val="ListParagraph"/>
        <w:bidi w:val="0"/>
        <w:spacing w:line="360" w:lineRule="auto"/>
        <w:ind w:left="0"/>
        <w:jc w:val="lowKashida"/>
        <w:rPr>
          <w:rFonts w:asciiTheme="majorBidi" w:hAnsiTheme="majorBidi" w:cstheme="majorBidi"/>
          <w:b/>
          <w:bCs/>
          <w:i/>
          <w:iCs/>
          <w:sz w:val="28"/>
          <w:szCs w:val="28"/>
        </w:rPr>
      </w:pPr>
    </w:p>
    <w:p w:rsidR="008428F6" w:rsidRPr="00835C50" w:rsidRDefault="008428F6" w:rsidP="008428F6">
      <w:pPr>
        <w:bidi w:val="0"/>
        <w:spacing w:line="360" w:lineRule="auto"/>
        <w:jc w:val="lowKashida"/>
        <w:rPr>
          <w:rFonts w:asciiTheme="majorBidi" w:hAnsiTheme="majorBidi" w:cstheme="majorBidi"/>
          <w:b/>
          <w:bCs/>
          <w:i/>
          <w:iCs/>
          <w:sz w:val="28"/>
          <w:szCs w:val="28"/>
        </w:rPr>
      </w:pPr>
    </w:p>
    <w:p w:rsidR="008428F6" w:rsidRDefault="008428F6" w:rsidP="008428F6">
      <w:pPr>
        <w:bidi w:val="0"/>
        <w:spacing w:line="360" w:lineRule="auto"/>
        <w:jc w:val="lowKashida"/>
        <w:rPr>
          <w:rFonts w:asciiTheme="majorBidi" w:hAnsiTheme="majorBidi" w:cstheme="majorBidi"/>
          <w:b/>
          <w:bCs/>
          <w:i/>
          <w:iCs/>
          <w:sz w:val="28"/>
          <w:szCs w:val="28"/>
        </w:rPr>
      </w:pPr>
    </w:p>
    <w:p w:rsidR="008428F6" w:rsidRDefault="008428F6" w:rsidP="008428F6">
      <w:pPr>
        <w:bidi w:val="0"/>
        <w:spacing w:line="360" w:lineRule="auto"/>
        <w:jc w:val="lowKashida"/>
        <w:rPr>
          <w:rFonts w:asciiTheme="majorBidi" w:hAnsiTheme="majorBidi" w:cstheme="majorBidi"/>
          <w:b/>
          <w:bCs/>
          <w:i/>
          <w:iCs/>
          <w:sz w:val="28"/>
          <w:szCs w:val="28"/>
        </w:rPr>
      </w:pPr>
    </w:p>
    <w:p w:rsidR="008428F6" w:rsidRDefault="008428F6" w:rsidP="008428F6">
      <w:pPr>
        <w:bidi w:val="0"/>
        <w:spacing w:line="360" w:lineRule="auto"/>
        <w:jc w:val="lowKashida"/>
        <w:rPr>
          <w:rFonts w:asciiTheme="majorBidi" w:hAnsiTheme="majorBidi" w:cstheme="majorBidi"/>
          <w:b/>
          <w:bCs/>
          <w:i/>
          <w:iCs/>
          <w:sz w:val="28"/>
          <w:szCs w:val="28"/>
        </w:rPr>
      </w:pPr>
    </w:p>
    <w:p w:rsidR="008428F6" w:rsidRDefault="008428F6" w:rsidP="008428F6">
      <w:pPr>
        <w:bidi w:val="0"/>
        <w:spacing w:line="360" w:lineRule="auto"/>
        <w:jc w:val="lowKashida"/>
        <w:rPr>
          <w:rFonts w:asciiTheme="majorBidi" w:hAnsiTheme="majorBidi" w:cstheme="majorBidi"/>
          <w:b/>
          <w:bCs/>
          <w:i/>
          <w:iCs/>
          <w:sz w:val="28"/>
          <w:szCs w:val="28"/>
        </w:rPr>
      </w:pPr>
    </w:p>
    <w:p w:rsidR="008428F6" w:rsidRPr="00CB1127" w:rsidRDefault="008428F6" w:rsidP="008428F6">
      <w:pPr>
        <w:bidi w:val="0"/>
        <w:spacing w:line="360" w:lineRule="auto"/>
        <w:jc w:val="lowKashida"/>
        <w:rPr>
          <w:rFonts w:asciiTheme="majorBidi" w:hAnsiTheme="majorBidi" w:cstheme="majorBidi"/>
          <w:b/>
          <w:bCs/>
          <w:i/>
          <w:iCs/>
          <w:sz w:val="28"/>
          <w:szCs w:val="28"/>
        </w:rPr>
      </w:pPr>
    </w:p>
    <w:p w:rsidR="00A612B6" w:rsidRPr="00E71424" w:rsidRDefault="00A612B6" w:rsidP="003C5CD9">
      <w:pPr>
        <w:pStyle w:val="Default"/>
        <w:spacing w:line="360" w:lineRule="auto"/>
        <w:ind w:left="360"/>
        <w:jc w:val="lowKashida"/>
        <w:rPr>
          <w:rFonts w:asciiTheme="majorBidi" w:hAnsiTheme="majorBidi" w:cstheme="majorBidi"/>
          <w:b/>
          <w:bCs/>
          <w:sz w:val="28"/>
          <w:szCs w:val="28"/>
        </w:rPr>
      </w:pPr>
    </w:p>
    <w:p w:rsidR="00B362BF" w:rsidRDefault="00B362BF" w:rsidP="00F53728">
      <w:pPr>
        <w:pStyle w:val="Default"/>
        <w:spacing w:line="360" w:lineRule="auto"/>
        <w:rPr>
          <w:b/>
          <w:bCs/>
          <w:sz w:val="28"/>
          <w:szCs w:val="28"/>
          <w:lang w:val="en"/>
        </w:rPr>
      </w:pPr>
      <w:r>
        <w:rPr>
          <w:rFonts w:cs="Arial"/>
          <w:color w:val="333333"/>
          <w:lang w:val="en"/>
        </w:rPr>
        <w:t>Pediatric Acute Lymphoblastic Leukemia: From Diagnosis to Prognosis</w:t>
      </w: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p>
    <w:p w:rsidR="00F1741F" w:rsidRDefault="00F1741F" w:rsidP="00F53728">
      <w:pPr>
        <w:pStyle w:val="Default"/>
        <w:spacing w:line="360" w:lineRule="auto"/>
        <w:rPr>
          <w:b/>
          <w:bCs/>
          <w:sz w:val="28"/>
          <w:szCs w:val="28"/>
          <w:lang w:val="en"/>
        </w:rPr>
      </w:pPr>
      <w:r>
        <w:t>1-Vardiman JW, Thiele J, Arber DA, et al The 2008 revision of the World Health Organization (WHO) classification of myeloid neoplasms and acute leukemia: rationale and important changes. Blood 2009</w:t>
      </w:r>
      <w:proofErr w:type="gramStart"/>
      <w:r>
        <w:t>;114:937</w:t>
      </w:r>
      <w:proofErr w:type="gramEnd"/>
      <w:r>
        <w:t>-951</w:t>
      </w:r>
    </w:p>
    <w:p w:rsidR="0088517C" w:rsidRPr="0088517C" w:rsidRDefault="0088517C" w:rsidP="00F53728">
      <w:pPr>
        <w:pStyle w:val="Default"/>
        <w:spacing w:line="360" w:lineRule="auto"/>
        <w:rPr>
          <w:b/>
          <w:bCs/>
          <w:sz w:val="28"/>
          <w:szCs w:val="28"/>
          <w:rtl/>
        </w:rPr>
      </w:pPr>
      <w:proofErr w:type="gramStart"/>
      <w:r>
        <w:rPr>
          <w:b/>
          <w:bCs/>
          <w:sz w:val="28"/>
          <w:szCs w:val="28"/>
          <w:lang w:val="en"/>
        </w:rPr>
        <w:t>2-z</w:t>
      </w:r>
      <w:proofErr w:type="spellStart"/>
      <w:r>
        <w:t>werdling</w:t>
      </w:r>
      <w:proofErr w:type="spellEnd"/>
      <w:r>
        <w:t xml:space="preserve"> T (2017) Pediatric Acute Lymphoblastic Leukemia.</w:t>
      </w:r>
      <w:proofErr w:type="gramEnd"/>
      <w:r>
        <w:t xml:space="preserve"> </w:t>
      </w:r>
      <w:proofErr w:type="spellStart"/>
      <w:r>
        <w:t>Hematol</w:t>
      </w:r>
      <w:proofErr w:type="spellEnd"/>
      <w:r>
        <w:t xml:space="preserve"> </w:t>
      </w:r>
      <w:proofErr w:type="spellStart"/>
      <w:r>
        <w:t>Transfus</w:t>
      </w:r>
      <w:proofErr w:type="spellEnd"/>
      <w:r>
        <w:t xml:space="preserve"> </w:t>
      </w:r>
      <w:proofErr w:type="spellStart"/>
      <w:r>
        <w:t>Int</w:t>
      </w:r>
      <w:proofErr w:type="spellEnd"/>
      <w:r>
        <w:t xml:space="preserve"> J 5(3): 00118. DOI: 10.15406/htij.2017.05.00118</w:t>
      </w:r>
      <w:r>
        <w:rPr>
          <w:b/>
          <w:bCs/>
          <w:sz w:val="28"/>
          <w:szCs w:val="28"/>
        </w:rPr>
        <w:t>.</w:t>
      </w:r>
    </w:p>
    <w:sectPr w:rsidR="0088517C" w:rsidRPr="0088517C" w:rsidSect="00D02AB7">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708" w:footer="708" w:gutter="0"/>
      <w:pgBorders w:offsetFrom="page">
        <w:top w:val="double" w:sz="4" w:space="24" w:color="auto" w:shadow="1"/>
        <w:left w:val="double" w:sz="4" w:space="24" w:color="auto" w:shadow="1"/>
        <w:bottom w:val="double" w:sz="4" w:space="24" w:color="auto" w:shadow="1"/>
        <w:right w:val="double" w:sz="4" w:space="24" w:color="auto" w:shadow="1"/>
      </w:pgBorders>
      <w:pgNumType w:start="4"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B" w:rsidRDefault="00AD02CB" w:rsidP="00071DED">
      <w:pPr>
        <w:spacing w:after="0" w:line="240" w:lineRule="auto"/>
      </w:pPr>
      <w:r>
        <w:separator/>
      </w:r>
    </w:p>
  </w:endnote>
  <w:endnote w:type="continuationSeparator" w:id="0">
    <w:p w:rsidR="00AD02CB" w:rsidRDefault="00AD02CB" w:rsidP="000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3D1294">
    <w:altName w:val="Times New Roman"/>
    <w:panose1 w:val="00000000000000000000"/>
    <w:charset w:val="00"/>
    <w:family w:val="roman"/>
    <w:notTrueType/>
    <w:pitch w:val="default"/>
    <w:sig w:usb0="00000003" w:usb1="00000000" w:usb2="00000000" w:usb3="00000000" w:csb0="00000001" w:csb1="00000000"/>
  </w:font>
  <w:font w:name="AdvP3D12A0">
    <w:altName w:val="Times New Roman"/>
    <w:panose1 w:val="00000000000000000000"/>
    <w:charset w:val="00"/>
    <w:family w:val="roman"/>
    <w:notTrueType/>
    <w:pitch w:val="default"/>
    <w:sig w:usb0="00000003" w:usb1="00000000" w:usb2="00000000" w:usb3="00000000" w:csb0="00000001" w:csb1="00000000"/>
  </w:font>
  <w:font w:name="AdvTT2876772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8" w:rsidRDefault="00C31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6939188"/>
      <w:docPartObj>
        <w:docPartGallery w:val="Page Numbers (Bottom of Page)"/>
        <w:docPartUnique/>
      </w:docPartObj>
    </w:sdtPr>
    <w:sdtEndPr/>
    <w:sdtContent>
      <w:p w:rsidR="00C31C38" w:rsidRDefault="00C31C38">
        <w:pPr>
          <w:pStyle w:val="Footer"/>
        </w:pPr>
        <w:r>
          <w:fldChar w:fldCharType="begin"/>
        </w:r>
        <w:r>
          <w:instrText xml:space="preserve"> PAGE   \* MERGEFORMAT </w:instrText>
        </w:r>
        <w:r>
          <w:fldChar w:fldCharType="separate"/>
        </w:r>
        <w:r w:rsidR="00053390">
          <w:rPr>
            <w:noProof/>
            <w:rtl/>
          </w:rPr>
          <w:t>44</w:t>
        </w:r>
        <w:r>
          <w:rPr>
            <w:noProof/>
          </w:rPr>
          <w:fldChar w:fldCharType="end"/>
        </w:r>
      </w:p>
    </w:sdtContent>
  </w:sdt>
  <w:p w:rsidR="00C31C38" w:rsidRDefault="00C31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8" w:rsidRDefault="00C31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B" w:rsidRDefault="00AD02CB" w:rsidP="00071DED">
      <w:pPr>
        <w:spacing w:after="0" w:line="240" w:lineRule="auto"/>
      </w:pPr>
      <w:r>
        <w:separator/>
      </w:r>
    </w:p>
  </w:footnote>
  <w:footnote w:type="continuationSeparator" w:id="0">
    <w:p w:rsidR="00AD02CB" w:rsidRDefault="00AD02CB" w:rsidP="00071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8" w:rsidRDefault="00C31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8" w:rsidRDefault="00C31C38" w:rsidP="00877AF4">
    <w:pPr>
      <w:pStyle w:val="Header"/>
      <w:pBdr>
        <w:bottom w:val="thickThinSmallGap" w:sz="24" w:space="1" w:color="622423" w:themeColor="accent2" w:themeShade="7F"/>
      </w:pBdr>
      <w:rPr>
        <w:rFonts w:asciiTheme="majorHAnsi" w:eastAsiaTheme="majorEastAsia" w:hAnsiTheme="majorHAnsi" w:cstheme="majorBidi"/>
        <w:sz w:val="32"/>
        <w:szCs w:val="32"/>
        <w:rtl/>
        <w:lang w:bidi="ar-EG"/>
      </w:rPr>
    </w:pPr>
    <w:r>
      <w:rPr>
        <w:rFonts w:asciiTheme="majorHAnsi" w:eastAsiaTheme="majorEastAsia" w:hAnsiTheme="majorHAnsi" w:cstheme="majorBidi"/>
        <w:sz w:val="32"/>
        <w:szCs w:val="32"/>
      </w:rPr>
      <w:t>Review of literature</w:t>
    </w:r>
  </w:p>
  <w:p w:rsidR="00C31C38" w:rsidRDefault="00C31C38">
    <w:pPr>
      <w:pStyle w:val="Header"/>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38" w:rsidRDefault="00C31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953"/>
    <w:multiLevelType w:val="hybridMultilevel"/>
    <w:tmpl w:val="A0D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77B5F"/>
    <w:multiLevelType w:val="multilevel"/>
    <w:tmpl w:val="677A4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97B98"/>
    <w:multiLevelType w:val="multilevel"/>
    <w:tmpl w:val="9AA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C0A6D"/>
    <w:multiLevelType w:val="multilevel"/>
    <w:tmpl w:val="36861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E608C1"/>
    <w:multiLevelType w:val="hybridMultilevel"/>
    <w:tmpl w:val="88F6BDEC"/>
    <w:lvl w:ilvl="0" w:tplc="E8C46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414232"/>
    <w:multiLevelType w:val="multilevel"/>
    <w:tmpl w:val="7AA69B7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3F2952E8"/>
    <w:multiLevelType w:val="hybridMultilevel"/>
    <w:tmpl w:val="3BE66560"/>
    <w:lvl w:ilvl="0" w:tplc="3B6E4B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2693BCA"/>
    <w:multiLevelType w:val="multilevel"/>
    <w:tmpl w:val="E8E2E916"/>
    <w:lvl w:ilvl="0">
      <w:start w:val="1"/>
      <w:numFmt w:val="bullet"/>
      <w:lvlText w:val=""/>
      <w:lvlJc w:val="left"/>
      <w:pPr>
        <w:tabs>
          <w:tab w:val="num" w:pos="2229"/>
        </w:tabs>
        <w:ind w:left="2229" w:hanging="360"/>
      </w:pPr>
      <w:rPr>
        <w:rFonts w:ascii="Symbol" w:hAnsi="Symbol" w:hint="default"/>
        <w:sz w:val="20"/>
      </w:rPr>
    </w:lvl>
    <w:lvl w:ilvl="1">
      <w:start w:val="1"/>
      <w:numFmt w:val="bullet"/>
      <w:lvlText w:val="o"/>
      <w:lvlJc w:val="left"/>
      <w:pPr>
        <w:tabs>
          <w:tab w:val="num" w:pos="2949"/>
        </w:tabs>
        <w:ind w:left="2949" w:hanging="360"/>
      </w:pPr>
      <w:rPr>
        <w:rFonts w:ascii="Courier New" w:hAnsi="Courier New" w:hint="default"/>
        <w:sz w:val="20"/>
      </w:rPr>
    </w:lvl>
    <w:lvl w:ilvl="2" w:tentative="1">
      <w:start w:val="1"/>
      <w:numFmt w:val="bullet"/>
      <w:lvlText w:val=""/>
      <w:lvlJc w:val="left"/>
      <w:pPr>
        <w:tabs>
          <w:tab w:val="num" w:pos="3669"/>
        </w:tabs>
        <w:ind w:left="3669" w:hanging="360"/>
      </w:pPr>
      <w:rPr>
        <w:rFonts w:ascii="Wingdings" w:hAnsi="Wingdings" w:hint="default"/>
        <w:sz w:val="20"/>
      </w:rPr>
    </w:lvl>
    <w:lvl w:ilvl="3" w:tentative="1">
      <w:start w:val="1"/>
      <w:numFmt w:val="bullet"/>
      <w:lvlText w:val=""/>
      <w:lvlJc w:val="left"/>
      <w:pPr>
        <w:tabs>
          <w:tab w:val="num" w:pos="4389"/>
        </w:tabs>
        <w:ind w:left="4389" w:hanging="360"/>
      </w:pPr>
      <w:rPr>
        <w:rFonts w:ascii="Wingdings" w:hAnsi="Wingdings" w:hint="default"/>
        <w:sz w:val="20"/>
      </w:rPr>
    </w:lvl>
    <w:lvl w:ilvl="4" w:tentative="1">
      <w:start w:val="1"/>
      <w:numFmt w:val="bullet"/>
      <w:lvlText w:val=""/>
      <w:lvlJc w:val="left"/>
      <w:pPr>
        <w:tabs>
          <w:tab w:val="num" w:pos="5109"/>
        </w:tabs>
        <w:ind w:left="5109" w:hanging="360"/>
      </w:pPr>
      <w:rPr>
        <w:rFonts w:ascii="Wingdings" w:hAnsi="Wingdings" w:hint="default"/>
        <w:sz w:val="20"/>
      </w:rPr>
    </w:lvl>
    <w:lvl w:ilvl="5" w:tentative="1">
      <w:start w:val="1"/>
      <w:numFmt w:val="bullet"/>
      <w:lvlText w:val=""/>
      <w:lvlJc w:val="left"/>
      <w:pPr>
        <w:tabs>
          <w:tab w:val="num" w:pos="5829"/>
        </w:tabs>
        <w:ind w:left="5829" w:hanging="360"/>
      </w:pPr>
      <w:rPr>
        <w:rFonts w:ascii="Wingdings" w:hAnsi="Wingdings" w:hint="default"/>
        <w:sz w:val="20"/>
      </w:rPr>
    </w:lvl>
    <w:lvl w:ilvl="6" w:tentative="1">
      <w:start w:val="1"/>
      <w:numFmt w:val="bullet"/>
      <w:lvlText w:val=""/>
      <w:lvlJc w:val="left"/>
      <w:pPr>
        <w:tabs>
          <w:tab w:val="num" w:pos="6549"/>
        </w:tabs>
        <w:ind w:left="6549" w:hanging="360"/>
      </w:pPr>
      <w:rPr>
        <w:rFonts w:ascii="Wingdings" w:hAnsi="Wingdings" w:hint="default"/>
        <w:sz w:val="20"/>
      </w:rPr>
    </w:lvl>
    <w:lvl w:ilvl="7" w:tentative="1">
      <w:start w:val="1"/>
      <w:numFmt w:val="bullet"/>
      <w:lvlText w:val=""/>
      <w:lvlJc w:val="left"/>
      <w:pPr>
        <w:tabs>
          <w:tab w:val="num" w:pos="7269"/>
        </w:tabs>
        <w:ind w:left="7269" w:hanging="360"/>
      </w:pPr>
      <w:rPr>
        <w:rFonts w:ascii="Wingdings" w:hAnsi="Wingdings" w:hint="default"/>
        <w:sz w:val="20"/>
      </w:rPr>
    </w:lvl>
    <w:lvl w:ilvl="8" w:tentative="1">
      <w:start w:val="1"/>
      <w:numFmt w:val="bullet"/>
      <w:lvlText w:val=""/>
      <w:lvlJc w:val="left"/>
      <w:pPr>
        <w:tabs>
          <w:tab w:val="num" w:pos="7989"/>
        </w:tabs>
        <w:ind w:left="7989" w:hanging="360"/>
      </w:pPr>
      <w:rPr>
        <w:rFonts w:ascii="Wingdings" w:hAnsi="Wingdings" w:hint="default"/>
        <w:sz w:val="20"/>
      </w:rPr>
    </w:lvl>
  </w:abstractNum>
  <w:abstractNum w:abstractNumId="8">
    <w:nsid w:val="52BB1FE9"/>
    <w:multiLevelType w:val="multilevel"/>
    <w:tmpl w:val="AF4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4074C"/>
    <w:multiLevelType w:val="hybridMultilevel"/>
    <w:tmpl w:val="414A084C"/>
    <w:lvl w:ilvl="0" w:tplc="227404C6">
      <w:start w:val="1"/>
      <w:numFmt w:val="decimal"/>
      <w:lvlText w:val="%1-"/>
      <w:lvlJc w:val="left"/>
      <w:pPr>
        <w:ind w:left="360" w:hanging="360"/>
      </w:pPr>
      <w:rPr>
        <w:rFonts w:hint="default"/>
        <w:sz w:val="28"/>
        <w:szCs w:val="28"/>
        <w:u w:val="none"/>
      </w:rPr>
    </w:lvl>
    <w:lvl w:ilvl="1" w:tplc="A9B4FC28">
      <w:numFmt w:val="bullet"/>
      <w:lvlText w:val="•"/>
      <w:lvlJc w:val="left"/>
      <w:pPr>
        <w:ind w:left="1080" w:hanging="360"/>
      </w:pPr>
      <w:rPr>
        <w:rFonts w:ascii="Arial" w:eastAsia="Arial" w:hAnsi="Arial" w:cs="Arial" w:hint="default"/>
        <w:b/>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917A3A"/>
    <w:multiLevelType w:val="hybridMultilevel"/>
    <w:tmpl w:val="8BB408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71E5ED0"/>
    <w:multiLevelType w:val="multilevel"/>
    <w:tmpl w:val="8B7A43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E4E0D"/>
    <w:multiLevelType w:val="hybridMultilevel"/>
    <w:tmpl w:val="00EEE214"/>
    <w:lvl w:ilvl="0" w:tplc="EEF00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D68CB"/>
    <w:multiLevelType w:val="hybridMultilevel"/>
    <w:tmpl w:val="0F102D14"/>
    <w:lvl w:ilvl="0" w:tplc="A016D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D6241"/>
    <w:multiLevelType w:val="hybridMultilevel"/>
    <w:tmpl w:val="3F56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F3D72"/>
    <w:multiLevelType w:val="hybridMultilevel"/>
    <w:tmpl w:val="7F264F3E"/>
    <w:lvl w:ilvl="0" w:tplc="041E6C7E">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FE6D8F"/>
    <w:multiLevelType w:val="multilevel"/>
    <w:tmpl w:val="EF6CBF70"/>
    <w:lvl w:ilvl="0">
      <w:start w:val="1"/>
      <w:numFmt w:val="decimal"/>
      <w:lvlText w:val="%1."/>
      <w:lvlJc w:val="left"/>
      <w:pPr>
        <w:ind w:left="420" w:hanging="420"/>
      </w:pPr>
      <w:rPr>
        <w:rFonts w:hint="default"/>
        <w:sz w:val="24"/>
        <w:u w:val="none"/>
      </w:rPr>
    </w:lvl>
    <w:lvl w:ilvl="1">
      <w:start w:val="1"/>
      <w:numFmt w:val="decimal"/>
      <w:lvlText w:val="%1.%2."/>
      <w:lvlJc w:val="left"/>
      <w:pPr>
        <w:ind w:left="720" w:hanging="720"/>
      </w:pPr>
      <w:rPr>
        <w:rFonts w:hint="default"/>
        <w:b/>
        <w:bCs/>
        <w:sz w:val="28"/>
        <w:szCs w:val="28"/>
        <w:u w:val="none"/>
      </w:rPr>
    </w:lvl>
    <w:lvl w:ilvl="2">
      <w:start w:val="1"/>
      <w:numFmt w:val="decimal"/>
      <w:lvlText w:val="%1.%2.%3."/>
      <w:lvlJc w:val="left"/>
      <w:pPr>
        <w:ind w:left="1440" w:hanging="720"/>
      </w:pPr>
      <w:rPr>
        <w:rFonts w:hint="default"/>
        <w:sz w:val="24"/>
        <w:u w:val="none"/>
      </w:rPr>
    </w:lvl>
    <w:lvl w:ilvl="3">
      <w:start w:val="1"/>
      <w:numFmt w:val="decimal"/>
      <w:lvlText w:val="%1.%2.%3.%4."/>
      <w:lvlJc w:val="left"/>
      <w:pPr>
        <w:ind w:left="2160" w:hanging="1080"/>
      </w:pPr>
      <w:rPr>
        <w:rFonts w:hint="default"/>
        <w:sz w:val="24"/>
        <w:u w:val="none"/>
      </w:rPr>
    </w:lvl>
    <w:lvl w:ilvl="4">
      <w:start w:val="1"/>
      <w:numFmt w:val="decimal"/>
      <w:lvlText w:val="%1.%2.%3.%4.%5."/>
      <w:lvlJc w:val="left"/>
      <w:pPr>
        <w:ind w:left="2520" w:hanging="1080"/>
      </w:pPr>
      <w:rPr>
        <w:rFonts w:hint="default"/>
        <w:sz w:val="24"/>
        <w:u w:val="none"/>
      </w:rPr>
    </w:lvl>
    <w:lvl w:ilvl="5">
      <w:start w:val="1"/>
      <w:numFmt w:val="decimal"/>
      <w:lvlText w:val="%1.%2.%3.%4.%5.%6."/>
      <w:lvlJc w:val="left"/>
      <w:pPr>
        <w:ind w:left="3240" w:hanging="1440"/>
      </w:pPr>
      <w:rPr>
        <w:rFonts w:hint="default"/>
        <w:sz w:val="24"/>
        <w:u w:val="none"/>
      </w:rPr>
    </w:lvl>
    <w:lvl w:ilvl="6">
      <w:start w:val="1"/>
      <w:numFmt w:val="decimal"/>
      <w:lvlText w:val="%1.%2.%3.%4.%5.%6.%7."/>
      <w:lvlJc w:val="left"/>
      <w:pPr>
        <w:ind w:left="3960" w:hanging="1800"/>
      </w:pPr>
      <w:rPr>
        <w:rFonts w:hint="default"/>
        <w:sz w:val="24"/>
        <w:u w:val="none"/>
      </w:rPr>
    </w:lvl>
    <w:lvl w:ilvl="7">
      <w:start w:val="1"/>
      <w:numFmt w:val="decimal"/>
      <w:lvlText w:val="%1.%2.%3.%4.%5.%6.%7.%8."/>
      <w:lvlJc w:val="left"/>
      <w:pPr>
        <w:ind w:left="4320" w:hanging="1800"/>
      </w:pPr>
      <w:rPr>
        <w:rFonts w:hint="default"/>
        <w:sz w:val="24"/>
        <w:u w:val="none"/>
      </w:rPr>
    </w:lvl>
    <w:lvl w:ilvl="8">
      <w:start w:val="1"/>
      <w:numFmt w:val="decimal"/>
      <w:lvlText w:val="%1.%2.%3.%4.%5.%6.%7.%8.%9."/>
      <w:lvlJc w:val="left"/>
      <w:pPr>
        <w:ind w:left="5040" w:hanging="2160"/>
      </w:pPr>
      <w:rPr>
        <w:rFonts w:hint="default"/>
        <w:sz w:val="24"/>
        <w:u w:val="none"/>
      </w:rPr>
    </w:lvl>
  </w:abstractNum>
  <w:abstractNum w:abstractNumId="17">
    <w:nsid w:val="6B92113F"/>
    <w:multiLevelType w:val="multilevel"/>
    <w:tmpl w:val="ABBA80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446E9"/>
    <w:multiLevelType w:val="hybridMultilevel"/>
    <w:tmpl w:val="934C48A8"/>
    <w:lvl w:ilvl="0" w:tplc="331AE0E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B5DB7"/>
    <w:multiLevelType w:val="multilevel"/>
    <w:tmpl w:val="E93E7B7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nsid w:val="75A7575F"/>
    <w:multiLevelType w:val="multilevel"/>
    <w:tmpl w:val="3256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C1DBA"/>
    <w:multiLevelType w:val="hybridMultilevel"/>
    <w:tmpl w:val="ED22CBE8"/>
    <w:lvl w:ilvl="0" w:tplc="919CA5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B1910"/>
    <w:multiLevelType w:val="hybridMultilevel"/>
    <w:tmpl w:val="284657CC"/>
    <w:lvl w:ilvl="0" w:tplc="7B8A02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2"/>
  </w:num>
  <w:num w:numId="4">
    <w:abstractNumId w:val="13"/>
  </w:num>
  <w:num w:numId="5">
    <w:abstractNumId w:val="9"/>
  </w:num>
  <w:num w:numId="6">
    <w:abstractNumId w:val="16"/>
  </w:num>
  <w:num w:numId="7">
    <w:abstractNumId w:val="18"/>
  </w:num>
  <w:num w:numId="8">
    <w:abstractNumId w:val="15"/>
  </w:num>
  <w:num w:numId="9">
    <w:abstractNumId w:val="10"/>
  </w:num>
  <w:num w:numId="10">
    <w:abstractNumId w:val="4"/>
  </w:num>
  <w:num w:numId="11">
    <w:abstractNumId w:val="14"/>
  </w:num>
  <w:num w:numId="12">
    <w:abstractNumId w:val="0"/>
  </w:num>
  <w:num w:numId="13">
    <w:abstractNumId w:val="6"/>
  </w:num>
  <w:num w:numId="14">
    <w:abstractNumId w:val="19"/>
  </w:num>
  <w:num w:numId="15">
    <w:abstractNumId w:val="17"/>
  </w:num>
  <w:num w:numId="16">
    <w:abstractNumId w:val="7"/>
  </w:num>
  <w:num w:numId="17">
    <w:abstractNumId w:val="20"/>
  </w:num>
  <w:num w:numId="18">
    <w:abstractNumId w:val="5"/>
  </w:num>
  <w:num w:numId="19">
    <w:abstractNumId w:val="8"/>
  </w:num>
  <w:num w:numId="20">
    <w:abstractNumId w:val="11"/>
  </w:num>
  <w:num w:numId="21">
    <w:abstractNumId w:val="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4"/>
    <w:rsid w:val="00002EE6"/>
    <w:rsid w:val="000270F4"/>
    <w:rsid w:val="00037198"/>
    <w:rsid w:val="00053390"/>
    <w:rsid w:val="000616C7"/>
    <w:rsid w:val="00063B96"/>
    <w:rsid w:val="00071DED"/>
    <w:rsid w:val="00081D79"/>
    <w:rsid w:val="00090C91"/>
    <w:rsid w:val="0009460C"/>
    <w:rsid w:val="00094AE7"/>
    <w:rsid w:val="000B13D4"/>
    <w:rsid w:val="000C2193"/>
    <w:rsid w:val="000C2AA8"/>
    <w:rsid w:val="000C5687"/>
    <w:rsid w:val="000D0485"/>
    <w:rsid w:val="000E0C65"/>
    <w:rsid w:val="000E7A80"/>
    <w:rsid w:val="001106A9"/>
    <w:rsid w:val="001116C1"/>
    <w:rsid w:val="00115BD9"/>
    <w:rsid w:val="00123EF4"/>
    <w:rsid w:val="0013120D"/>
    <w:rsid w:val="00140719"/>
    <w:rsid w:val="00143625"/>
    <w:rsid w:val="00151246"/>
    <w:rsid w:val="001560EB"/>
    <w:rsid w:val="00157965"/>
    <w:rsid w:val="001648B0"/>
    <w:rsid w:val="001740E0"/>
    <w:rsid w:val="001744A9"/>
    <w:rsid w:val="00181D2E"/>
    <w:rsid w:val="00183C93"/>
    <w:rsid w:val="001B7608"/>
    <w:rsid w:val="001C2598"/>
    <w:rsid w:val="001C2D13"/>
    <w:rsid w:val="001C780A"/>
    <w:rsid w:val="001D06C0"/>
    <w:rsid w:val="001D747B"/>
    <w:rsid w:val="0020095F"/>
    <w:rsid w:val="0020734F"/>
    <w:rsid w:val="00215A01"/>
    <w:rsid w:val="002170E2"/>
    <w:rsid w:val="00234087"/>
    <w:rsid w:val="0025214D"/>
    <w:rsid w:val="0026340D"/>
    <w:rsid w:val="002655BF"/>
    <w:rsid w:val="002749E6"/>
    <w:rsid w:val="00275158"/>
    <w:rsid w:val="00281FCF"/>
    <w:rsid w:val="00282C99"/>
    <w:rsid w:val="002853B9"/>
    <w:rsid w:val="00290B5A"/>
    <w:rsid w:val="002A3CE2"/>
    <w:rsid w:val="002A6044"/>
    <w:rsid w:val="002B01CB"/>
    <w:rsid w:val="002D0123"/>
    <w:rsid w:val="002E6871"/>
    <w:rsid w:val="002F7239"/>
    <w:rsid w:val="002F7CAF"/>
    <w:rsid w:val="00305D45"/>
    <w:rsid w:val="00313423"/>
    <w:rsid w:val="00330061"/>
    <w:rsid w:val="00337827"/>
    <w:rsid w:val="00364157"/>
    <w:rsid w:val="00367295"/>
    <w:rsid w:val="00373A40"/>
    <w:rsid w:val="003B2208"/>
    <w:rsid w:val="003C0FC5"/>
    <w:rsid w:val="003C5B07"/>
    <w:rsid w:val="003C5CD9"/>
    <w:rsid w:val="003D09F1"/>
    <w:rsid w:val="003D4BA4"/>
    <w:rsid w:val="003D7BE6"/>
    <w:rsid w:val="003F6020"/>
    <w:rsid w:val="004023D2"/>
    <w:rsid w:val="004026AD"/>
    <w:rsid w:val="0041445C"/>
    <w:rsid w:val="0042087F"/>
    <w:rsid w:val="0042614E"/>
    <w:rsid w:val="00433234"/>
    <w:rsid w:val="0043700D"/>
    <w:rsid w:val="0044052B"/>
    <w:rsid w:val="004436EE"/>
    <w:rsid w:val="0049371B"/>
    <w:rsid w:val="00493AA4"/>
    <w:rsid w:val="0049577B"/>
    <w:rsid w:val="004B51B2"/>
    <w:rsid w:val="004B52AA"/>
    <w:rsid w:val="004C069F"/>
    <w:rsid w:val="004C4C5B"/>
    <w:rsid w:val="004C795C"/>
    <w:rsid w:val="004F179F"/>
    <w:rsid w:val="00501DFF"/>
    <w:rsid w:val="00504DC4"/>
    <w:rsid w:val="00532481"/>
    <w:rsid w:val="00542F4A"/>
    <w:rsid w:val="00543A4A"/>
    <w:rsid w:val="00544FE4"/>
    <w:rsid w:val="00545372"/>
    <w:rsid w:val="005529B3"/>
    <w:rsid w:val="0055362A"/>
    <w:rsid w:val="00553713"/>
    <w:rsid w:val="005604FA"/>
    <w:rsid w:val="00565812"/>
    <w:rsid w:val="005736AE"/>
    <w:rsid w:val="00580AEF"/>
    <w:rsid w:val="005923AE"/>
    <w:rsid w:val="005D4EAE"/>
    <w:rsid w:val="005E443F"/>
    <w:rsid w:val="005E6C49"/>
    <w:rsid w:val="005F1974"/>
    <w:rsid w:val="005F1B9A"/>
    <w:rsid w:val="005F2171"/>
    <w:rsid w:val="005F58E6"/>
    <w:rsid w:val="00610FDC"/>
    <w:rsid w:val="00611BCD"/>
    <w:rsid w:val="00617BDE"/>
    <w:rsid w:val="00623C20"/>
    <w:rsid w:val="00623D76"/>
    <w:rsid w:val="00650016"/>
    <w:rsid w:val="00660E84"/>
    <w:rsid w:val="00684103"/>
    <w:rsid w:val="0069136D"/>
    <w:rsid w:val="00697EFE"/>
    <w:rsid w:val="006D579D"/>
    <w:rsid w:val="006D7023"/>
    <w:rsid w:val="006E40A7"/>
    <w:rsid w:val="0071191B"/>
    <w:rsid w:val="0072128F"/>
    <w:rsid w:val="00724E70"/>
    <w:rsid w:val="007259E4"/>
    <w:rsid w:val="00727C1C"/>
    <w:rsid w:val="007301F2"/>
    <w:rsid w:val="00731BC5"/>
    <w:rsid w:val="007323CE"/>
    <w:rsid w:val="007422A1"/>
    <w:rsid w:val="00754096"/>
    <w:rsid w:val="007965E5"/>
    <w:rsid w:val="00796C06"/>
    <w:rsid w:val="007A4F07"/>
    <w:rsid w:val="007E5DF8"/>
    <w:rsid w:val="007F3187"/>
    <w:rsid w:val="00823B63"/>
    <w:rsid w:val="00835C50"/>
    <w:rsid w:val="00840F3B"/>
    <w:rsid w:val="00841045"/>
    <w:rsid w:val="008428F6"/>
    <w:rsid w:val="0084599F"/>
    <w:rsid w:val="0086730D"/>
    <w:rsid w:val="00877AF4"/>
    <w:rsid w:val="00884071"/>
    <w:rsid w:val="0088517C"/>
    <w:rsid w:val="00886EC2"/>
    <w:rsid w:val="008B07BF"/>
    <w:rsid w:val="008B2194"/>
    <w:rsid w:val="008C3A30"/>
    <w:rsid w:val="008F3215"/>
    <w:rsid w:val="0090235E"/>
    <w:rsid w:val="009062A2"/>
    <w:rsid w:val="00907C65"/>
    <w:rsid w:val="00910048"/>
    <w:rsid w:val="00915AF6"/>
    <w:rsid w:val="009169FE"/>
    <w:rsid w:val="00933C01"/>
    <w:rsid w:val="0093780B"/>
    <w:rsid w:val="00940085"/>
    <w:rsid w:val="00971A40"/>
    <w:rsid w:val="00972A81"/>
    <w:rsid w:val="00991559"/>
    <w:rsid w:val="009A1043"/>
    <w:rsid w:val="009A4AEE"/>
    <w:rsid w:val="009B3E7A"/>
    <w:rsid w:val="009C481E"/>
    <w:rsid w:val="009E1FA2"/>
    <w:rsid w:val="009E5FA7"/>
    <w:rsid w:val="00A104AF"/>
    <w:rsid w:val="00A106D8"/>
    <w:rsid w:val="00A11147"/>
    <w:rsid w:val="00A313D0"/>
    <w:rsid w:val="00A36AEC"/>
    <w:rsid w:val="00A37386"/>
    <w:rsid w:val="00A37513"/>
    <w:rsid w:val="00A46F5F"/>
    <w:rsid w:val="00A612B6"/>
    <w:rsid w:val="00A71910"/>
    <w:rsid w:val="00A756C4"/>
    <w:rsid w:val="00A75A19"/>
    <w:rsid w:val="00A9026D"/>
    <w:rsid w:val="00AA08C7"/>
    <w:rsid w:val="00AA35AC"/>
    <w:rsid w:val="00AB59F6"/>
    <w:rsid w:val="00AC6E74"/>
    <w:rsid w:val="00AD0049"/>
    <w:rsid w:val="00AD02CB"/>
    <w:rsid w:val="00AD7713"/>
    <w:rsid w:val="00AE53AC"/>
    <w:rsid w:val="00B12957"/>
    <w:rsid w:val="00B26852"/>
    <w:rsid w:val="00B335CC"/>
    <w:rsid w:val="00B362BF"/>
    <w:rsid w:val="00B67F11"/>
    <w:rsid w:val="00B701F5"/>
    <w:rsid w:val="00B77449"/>
    <w:rsid w:val="00B77907"/>
    <w:rsid w:val="00BB0913"/>
    <w:rsid w:val="00BB655E"/>
    <w:rsid w:val="00BB78F9"/>
    <w:rsid w:val="00BD3C99"/>
    <w:rsid w:val="00BD7E17"/>
    <w:rsid w:val="00C02A23"/>
    <w:rsid w:val="00C143BC"/>
    <w:rsid w:val="00C31C38"/>
    <w:rsid w:val="00C45CD5"/>
    <w:rsid w:val="00C60892"/>
    <w:rsid w:val="00C63BEF"/>
    <w:rsid w:val="00C646A2"/>
    <w:rsid w:val="00C706A7"/>
    <w:rsid w:val="00C70A5C"/>
    <w:rsid w:val="00C72E12"/>
    <w:rsid w:val="00C74302"/>
    <w:rsid w:val="00CA5299"/>
    <w:rsid w:val="00CA59A1"/>
    <w:rsid w:val="00CA62E1"/>
    <w:rsid w:val="00CB1127"/>
    <w:rsid w:val="00CB4355"/>
    <w:rsid w:val="00CE289A"/>
    <w:rsid w:val="00CE5139"/>
    <w:rsid w:val="00CE6516"/>
    <w:rsid w:val="00D02AB7"/>
    <w:rsid w:val="00D2365C"/>
    <w:rsid w:val="00D3227F"/>
    <w:rsid w:val="00D373B0"/>
    <w:rsid w:val="00D3772E"/>
    <w:rsid w:val="00D4209D"/>
    <w:rsid w:val="00D42A17"/>
    <w:rsid w:val="00D51913"/>
    <w:rsid w:val="00D64848"/>
    <w:rsid w:val="00D80B1D"/>
    <w:rsid w:val="00D814B8"/>
    <w:rsid w:val="00D844FE"/>
    <w:rsid w:val="00D924DB"/>
    <w:rsid w:val="00DC58E1"/>
    <w:rsid w:val="00DD1F38"/>
    <w:rsid w:val="00DD5614"/>
    <w:rsid w:val="00DD662E"/>
    <w:rsid w:val="00E02F23"/>
    <w:rsid w:val="00E331F5"/>
    <w:rsid w:val="00E6013D"/>
    <w:rsid w:val="00E61581"/>
    <w:rsid w:val="00E64B90"/>
    <w:rsid w:val="00E71424"/>
    <w:rsid w:val="00E76DAF"/>
    <w:rsid w:val="00EA0EBB"/>
    <w:rsid w:val="00EA3E1C"/>
    <w:rsid w:val="00EB40C7"/>
    <w:rsid w:val="00EB6817"/>
    <w:rsid w:val="00EC7778"/>
    <w:rsid w:val="00ED3E0C"/>
    <w:rsid w:val="00ED444B"/>
    <w:rsid w:val="00EE7C52"/>
    <w:rsid w:val="00EF14C7"/>
    <w:rsid w:val="00EF4811"/>
    <w:rsid w:val="00F03E7D"/>
    <w:rsid w:val="00F0645E"/>
    <w:rsid w:val="00F15595"/>
    <w:rsid w:val="00F1741F"/>
    <w:rsid w:val="00F23F10"/>
    <w:rsid w:val="00F260F9"/>
    <w:rsid w:val="00F36A56"/>
    <w:rsid w:val="00F40F2D"/>
    <w:rsid w:val="00F422D7"/>
    <w:rsid w:val="00F4234F"/>
    <w:rsid w:val="00F44D92"/>
    <w:rsid w:val="00F451B9"/>
    <w:rsid w:val="00F53728"/>
    <w:rsid w:val="00F54D32"/>
    <w:rsid w:val="00F66967"/>
    <w:rsid w:val="00F742F6"/>
    <w:rsid w:val="00FA69A1"/>
    <w:rsid w:val="00FB4873"/>
    <w:rsid w:val="00FC210D"/>
    <w:rsid w:val="00FC3FBE"/>
    <w:rsid w:val="00FD1D8B"/>
    <w:rsid w:val="00FD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C5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link w:val="Heading8Char"/>
    <w:uiPriority w:val="1"/>
    <w:qFormat/>
    <w:rsid w:val="00E71424"/>
    <w:pPr>
      <w:widowControl w:val="0"/>
      <w:autoSpaceDE w:val="0"/>
      <w:autoSpaceDN w:val="0"/>
      <w:bidi w:val="0"/>
      <w:spacing w:after="0" w:line="240" w:lineRule="auto"/>
      <w:ind w:left="800"/>
      <w:outlineLvl w:val="7"/>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158"/>
    <w:rPr>
      <w:color w:val="0000FF"/>
      <w:u w:val="single"/>
    </w:rPr>
  </w:style>
  <w:style w:type="character" w:styleId="HTMLCite">
    <w:name w:val="HTML Cite"/>
    <w:basedOn w:val="DefaultParagraphFont"/>
    <w:uiPriority w:val="99"/>
    <w:semiHidden/>
    <w:unhideWhenUsed/>
    <w:rsid w:val="00275158"/>
    <w:rPr>
      <w:i/>
      <w:iCs/>
    </w:rPr>
  </w:style>
  <w:style w:type="paragraph" w:styleId="BalloonText">
    <w:name w:val="Balloon Text"/>
    <w:basedOn w:val="Normal"/>
    <w:link w:val="BalloonTextChar"/>
    <w:uiPriority w:val="99"/>
    <w:semiHidden/>
    <w:unhideWhenUsed/>
    <w:rsid w:val="00EA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1C"/>
    <w:rPr>
      <w:rFonts w:ascii="Tahoma" w:hAnsi="Tahoma" w:cs="Tahoma"/>
      <w:sz w:val="16"/>
      <w:szCs w:val="16"/>
    </w:rPr>
  </w:style>
  <w:style w:type="paragraph" w:styleId="ListParagraph">
    <w:name w:val="List Paragraph"/>
    <w:basedOn w:val="Normal"/>
    <w:uiPriority w:val="34"/>
    <w:qFormat/>
    <w:rsid w:val="00B67F11"/>
    <w:pPr>
      <w:ind w:left="720"/>
      <w:contextualSpacing/>
    </w:pPr>
  </w:style>
  <w:style w:type="table" w:styleId="TableGrid">
    <w:name w:val="Table Grid"/>
    <w:basedOn w:val="TableNormal"/>
    <w:uiPriority w:val="59"/>
    <w:rsid w:val="00A7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481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E6871"/>
    <w:rPr>
      <w:rFonts w:ascii="Times New Roman" w:hAnsi="Times New Roman" w:cs="Times New Roman"/>
      <w:sz w:val="24"/>
      <w:szCs w:val="24"/>
    </w:rPr>
  </w:style>
  <w:style w:type="character" w:styleId="Strong">
    <w:name w:val="Strong"/>
    <w:basedOn w:val="DefaultParagraphFont"/>
    <w:uiPriority w:val="22"/>
    <w:qFormat/>
    <w:rsid w:val="00545372"/>
    <w:rPr>
      <w:b/>
      <w:bCs/>
    </w:rPr>
  </w:style>
  <w:style w:type="character" w:customStyle="1" w:styleId="tl-default">
    <w:name w:val="tl-default"/>
    <w:basedOn w:val="DefaultParagraphFont"/>
    <w:rsid w:val="00545372"/>
  </w:style>
  <w:style w:type="character" w:customStyle="1" w:styleId="capture-id">
    <w:name w:val="capture-id"/>
    <w:basedOn w:val="DefaultParagraphFont"/>
    <w:rsid w:val="003C0FC5"/>
  </w:style>
  <w:style w:type="character" w:styleId="Emphasis">
    <w:name w:val="Emphasis"/>
    <w:basedOn w:val="DefaultParagraphFont"/>
    <w:uiPriority w:val="20"/>
    <w:qFormat/>
    <w:rsid w:val="003C0FC5"/>
    <w:rPr>
      <w:i/>
      <w:iCs/>
    </w:rPr>
  </w:style>
  <w:style w:type="paragraph" w:styleId="BodyText">
    <w:name w:val="Body Text"/>
    <w:basedOn w:val="Normal"/>
    <w:link w:val="BodyTextChar"/>
    <w:uiPriority w:val="1"/>
    <w:qFormat/>
    <w:rsid w:val="00E71424"/>
    <w:pPr>
      <w:widowControl w:val="0"/>
      <w:autoSpaceDE w:val="0"/>
      <w:autoSpaceDN w:val="0"/>
      <w:bidi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71424"/>
    <w:rPr>
      <w:rFonts w:ascii="Arial" w:eastAsia="Arial" w:hAnsi="Arial" w:cs="Arial"/>
      <w:lang w:bidi="en-US"/>
    </w:rPr>
  </w:style>
  <w:style w:type="character" w:customStyle="1" w:styleId="Heading8Char">
    <w:name w:val="Heading 8 Char"/>
    <w:basedOn w:val="DefaultParagraphFont"/>
    <w:link w:val="Heading8"/>
    <w:uiPriority w:val="1"/>
    <w:rsid w:val="00E71424"/>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3C5CD9"/>
    <w:rPr>
      <w:rFonts w:asciiTheme="majorHAnsi" w:eastAsiaTheme="majorEastAsia" w:hAnsiTheme="majorHAnsi" w:cstheme="majorBidi"/>
      <w:b/>
      <w:bCs/>
      <w:color w:val="4F81BD" w:themeColor="accent1"/>
      <w:sz w:val="26"/>
      <w:szCs w:val="26"/>
    </w:rPr>
  </w:style>
  <w:style w:type="character" w:customStyle="1" w:styleId="mixed-citation">
    <w:name w:val="mixed-citation"/>
    <w:basedOn w:val="DefaultParagraphFont"/>
    <w:rsid w:val="00C60892"/>
  </w:style>
  <w:style w:type="paragraph" w:styleId="Header">
    <w:name w:val="header"/>
    <w:basedOn w:val="Normal"/>
    <w:link w:val="HeaderChar"/>
    <w:uiPriority w:val="99"/>
    <w:unhideWhenUsed/>
    <w:rsid w:val="00071D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DED"/>
  </w:style>
  <w:style w:type="paragraph" w:styleId="Footer">
    <w:name w:val="footer"/>
    <w:basedOn w:val="Normal"/>
    <w:link w:val="FooterChar"/>
    <w:uiPriority w:val="99"/>
    <w:unhideWhenUsed/>
    <w:rsid w:val="00071D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3C5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link w:val="Heading8Char"/>
    <w:uiPriority w:val="1"/>
    <w:qFormat/>
    <w:rsid w:val="00E71424"/>
    <w:pPr>
      <w:widowControl w:val="0"/>
      <w:autoSpaceDE w:val="0"/>
      <w:autoSpaceDN w:val="0"/>
      <w:bidi w:val="0"/>
      <w:spacing w:after="0" w:line="240" w:lineRule="auto"/>
      <w:ind w:left="800"/>
      <w:outlineLvl w:val="7"/>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158"/>
    <w:rPr>
      <w:color w:val="0000FF"/>
      <w:u w:val="single"/>
    </w:rPr>
  </w:style>
  <w:style w:type="character" w:styleId="HTMLCite">
    <w:name w:val="HTML Cite"/>
    <w:basedOn w:val="DefaultParagraphFont"/>
    <w:uiPriority w:val="99"/>
    <w:semiHidden/>
    <w:unhideWhenUsed/>
    <w:rsid w:val="00275158"/>
    <w:rPr>
      <w:i/>
      <w:iCs/>
    </w:rPr>
  </w:style>
  <w:style w:type="paragraph" w:styleId="BalloonText">
    <w:name w:val="Balloon Text"/>
    <w:basedOn w:val="Normal"/>
    <w:link w:val="BalloonTextChar"/>
    <w:uiPriority w:val="99"/>
    <w:semiHidden/>
    <w:unhideWhenUsed/>
    <w:rsid w:val="00EA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1C"/>
    <w:rPr>
      <w:rFonts w:ascii="Tahoma" w:hAnsi="Tahoma" w:cs="Tahoma"/>
      <w:sz w:val="16"/>
      <w:szCs w:val="16"/>
    </w:rPr>
  </w:style>
  <w:style w:type="paragraph" w:styleId="ListParagraph">
    <w:name w:val="List Paragraph"/>
    <w:basedOn w:val="Normal"/>
    <w:uiPriority w:val="34"/>
    <w:qFormat/>
    <w:rsid w:val="00B67F11"/>
    <w:pPr>
      <w:ind w:left="720"/>
      <w:contextualSpacing/>
    </w:pPr>
  </w:style>
  <w:style w:type="table" w:styleId="TableGrid">
    <w:name w:val="Table Grid"/>
    <w:basedOn w:val="TableNormal"/>
    <w:uiPriority w:val="59"/>
    <w:rsid w:val="00A7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481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E6871"/>
    <w:rPr>
      <w:rFonts w:ascii="Times New Roman" w:hAnsi="Times New Roman" w:cs="Times New Roman"/>
      <w:sz w:val="24"/>
      <w:szCs w:val="24"/>
    </w:rPr>
  </w:style>
  <w:style w:type="character" w:styleId="Strong">
    <w:name w:val="Strong"/>
    <w:basedOn w:val="DefaultParagraphFont"/>
    <w:uiPriority w:val="22"/>
    <w:qFormat/>
    <w:rsid w:val="00545372"/>
    <w:rPr>
      <w:b/>
      <w:bCs/>
    </w:rPr>
  </w:style>
  <w:style w:type="character" w:customStyle="1" w:styleId="tl-default">
    <w:name w:val="tl-default"/>
    <w:basedOn w:val="DefaultParagraphFont"/>
    <w:rsid w:val="00545372"/>
  </w:style>
  <w:style w:type="character" w:customStyle="1" w:styleId="capture-id">
    <w:name w:val="capture-id"/>
    <w:basedOn w:val="DefaultParagraphFont"/>
    <w:rsid w:val="003C0FC5"/>
  </w:style>
  <w:style w:type="character" w:styleId="Emphasis">
    <w:name w:val="Emphasis"/>
    <w:basedOn w:val="DefaultParagraphFont"/>
    <w:uiPriority w:val="20"/>
    <w:qFormat/>
    <w:rsid w:val="003C0FC5"/>
    <w:rPr>
      <w:i/>
      <w:iCs/>
    </w:rPr>
  </w:style>
  <w:style w:type="paragraph" w:styleId="BodyText">
    <w:name w:val="Body Text"/>
    <w:basedOn w:val="Normal"/>
    <w:link w:val="BodyTextChar"/>
    <w:uiPriority w:val="1"/>
    <w:qFormat/>
    <w:rsid w:val="00E71424"/>
    <w:pPr>
      <w:widowControl w:val="0"/>
      <w:autoSpaceDE w:val="0"/>
      <w:autoSpaceDN w:val="0"/>
      <w:bidi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71424"/>
    <w:rPr>
      <w:rFonts w:ascii="Arial" w:eastAsia="Arial" w:hAnsi="Arial" w:cs="Arial"/>
      <w:lang w:bidi="en-US"/>
    </w:rPr>
  </w:style>
  <w:style w:type="character" w:customStyle="1" w:styleId="Heading8Char">
    <w:name w:val="Heading 8 Char"/>
    <w:basedOn w:val="DefaultParagraphFont"/>
    <w:link w:val="Heading8"/>
    <w:uiPriority w:val="1"/>
    <w:rsid w:val="00E71424"/>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3C5CD9"/>
    <w:rPr>
      <w:rFonts w:asciiTheme="majorHAnsi" w:eastAsiaTheme="majorEastAsia" w:hAnsiTheme="majorHAnsi" w:cstheme="majorBidi"/>
      <w:b/>
      <w:bCs/>
      <w:color w:val="4F81BD" w:themeColor="accent1"/>
      <w:sz w:val="26"/>
      <w:szCs w:val="26"/>
    </w:rPr>
  </w:style>
  <w:style w:type="character" w:customStyle="1" w:styleId="mixed-citation">
    <w:name w:val="mixed-citation"/>
    <w:basedOn w:val="DefaultParagraphFont"/>
    <w:rsid w:val="00C60892"/>
  </w:style>
  <w:style w:type="paragraph" w:styleId="Header">
    <w:name w:val="header"/>
    <w:basedOn w:val="Normal"/>
    <w:link w:val="HeaderChar"/>
    <w:uiPriority w:val="99"/>
    <w:unhideWhenUsed/>
    <w:rsid w:val="00071D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DED"/>
  </w:style>
  <w:style w:type="paragraph" w:styleId="Footer">
    <w:name w:val="footer"/>
    <w:basedOn w:val="Normal"/>
    <w:link w:val="FooterChar"/>
    <w:uiPriority w:val="99"/>
    <w:unhideWhenUsed/>
    <w:rsid w:val="00071D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6439">
      <w:bodyDiv w:val="1"/>
      <w:marLeft w:val="0"/>
      <w:marRight w:val="0"/>
      <w:marTop w:val="0"/>
      <w:marBottom w:val="0"/>
      <w:divBdr>
        <w:top w:val="none" w:sz="0" w:space="0" w:color="auto"/>
        <w:left w:val="none" w:sz="0" w:space="0" w:color="auto"/>
        <w:bottom w:val="none" w:sz="0" w:space="0" w:color="auto"/>
        <w:right w:val="none" w:sz="0" w:space="0" w:color="auto"/>
      </w:divBdr>
      <w:divsChild>
        <w:div w:id="1498495818">
          <w:marLeft w:val="0"/>
          <w:marRight w:val="1"/>
          <w:marTop w:val="0"/>
          <w:marBottom w:val="0"/>
          <w:divBdr>
            <w:top w:val="none" w:sz="0" w:space="0" w:color="auto"/>
            <w:left w:val="none" w:sz="0" w:space="0" w:color="auto"/>
            <w:bottom w:val="none" w:sz="0" w:space="0" w:color="auto"/>
            <w:right w:val="none" w:sz="0" w:space="0" w:color="auto"/>
          </w:divBdr>
          <w:divsChild>
            <w:div w:id="1645350185">
              <w:marLeft w:val="0"/>
              <w:marRight w:val="0"/>
              <w:marTop w:val="0"/>
              <w:marBottom w:val="0"/>
              <w:divBdr>
                <w:top w:val="none" w:sz="0" w:space="0" w:color="auto"/>
                <w:left w:val="none" w:sz="0" w:space="0" w:color="auto"/>
                <w:bottom w:val="none" w:sz="0" w:space="0" w:color="auto"/>
                <w:right w:val="none" w:sz="0" w:space="0" w:color="auto"/>
              </w:divBdr>
              <w:divsChild>
                <w:div w:id="644435809">
                  <w:marLeft w:val="0"/>
                  <w:marRight w:val="0"/>
                  <w:marTop w:val="0"/>
                  <w:marBottom w:val="0"/>
                  <w:divBdr>
                    <w:top w:val="none" w:sz="0" w:space="0" w:color="auto"/>
                    <w:left w:val="none" w:sz="0" w:space="0" w:color="auto"/>
                    <w:bottom w:val="none" w:sz="0" w:space="0" w:color="auto"/>
                    <w:right w:val="none" w:sz="0" w:space="0" w:color="auto"/>
                  </w:divBdr>
                  <w:divsChild>
                    <w:div w:id="1928609744">
                      <w:marLeft w:val="0"/>
                      <w:marRight w:val="0"/>
                      <w:marTop w:val="0"/>
                      <w:marBottom w:val="0"/>
                      <w:divBdr>
                        <w:top w:val="none" w:sz="0" w:space="0" w:color="auto"/>
                        <w:left w:val="none" w:sz="0" w:space="0" w:color="auto"/>
                        <w:bottom w:val="none" w:sz="0" w:space="0" w:color="auto"/>
                        <w:right w:val="none" w:sz="0" w:space="0" w:color="auto"/>
                      </w:divBdr>
                      <w:divsChild>
                        <w:div w:id="1363944140">
                          <w:marLeft w:val="384"/>
                          <w:marRight w:val="384"/>
                          <w:marTop w:val="0"/>
                          <w:marBottom w:val="0"/>
                          <w:divBdr>
                            <w:top w:val="none" w:sz="0" w:space="0" w:color="auto"/>
                            <w:left w:val="none" w:sz="0" w:space="0" w:color="auto"/>
                            <w:bottom w:val="none" w:sz="0" w:space="0" w:color="auto"/>
                            <w:right w:val="none" w:sz="0" w:space="0" w:color="auto"/>
                          </w:divBdr>
                          <w:divsChild>
                            <w:div w:id="1522040750">
                              <w:marLeft w:val="0"/>
                              <w:marRight w:val="0"/>
                              <w:marTop w:val="0"/>
                              <w:marBottom w:val="0"/>
                              <w:divBdr>
                                <w:top w:val="none" w:sz="0" w:space="0" w:color="auto"/>
                                <w:left w:val="none" w:sz="0" w:space="0" w:color="auto"/>
                                <w:bottom w:val="none" w:sz="0" w:space="0" w:color="auto"/>
                                <w:right w:val="none" w:sz="0" w:space="0" w:color="auto"/>
                              </w:divBdr>
                              <w:divsChild>
                                <w:div w:id="1682201789">
                                  <w:marLeft w:val="0"/>
                                  <w:marRight w:val="0"/>
                                  <w:marTop w:val="0"/>
                                  <w:marBottom w:val="0"/>
                                  <w:divBdr>
                                    <w:top w:val="none" w:sz="0" w:space="0" w:color="auto"/>
                                    <w:left w:val="none" w:sz="0" w:space="0" w:color="auto"/>
                                    <w:bottom w:val="none" w:sz="0" w:space="0" w:color="auto"/>
                                    <w:right w:val="none" w:sz="0" w:space="0" w:color="auto"/>
                                  </w:divBdr>
                                  <w:divsChild>
                                    <w:div w:id="1545675544">
                                      <w:marLeft w:val="0"/>
                                      <w:marRight w:val="0"/>
                                      <w:marTop w:val="0"/>
                                      <w:marBottom w:val="0"/>
                                      <w:divBdr>
                                        <w:top w:val="none" w:sz="0" w:space="0" w:color="auto"/>
                                        <w:left w:val="none" w:sz="0" w:space="0" w:color="auto"/>
                                        <w:bottom w:val="none" w:sz="0" w:space="0" w:color="auto"/>
                                        <w:right w:val="none" w:sz="0" w:space="0" w:color="auto"/>
                                      </w:divBdr>
                                      <w:divsChild>
                                        <w:div w:id="376975352">
                                          <w:marLeft w:val="0"/>
                                          <w:marRight w:val="0"/>
                                          <w:marTop w:val="0"/>
                                          <w:marBottom w:val="0"/>
                                          <w:divBdr>
                                            <w:top w:val="none" w:sz="0" w:space="0" w:color="auto"/>
                                            <w:left w:val="none" w:sz="0" w:space="0" w:color="auto"/>
                                            <w:bottom w:val="none" w:sz="0" w:space="0" w:color="auto"/>
                                            <w:right w:val="none" w:sz="0" w:space="0" w:color="auto"/>
                                          </w:divBdr>
                                          <w:divsChild>
                                            <w:div w:id="1641424893">
                                              <w:marLeft w:val="0"/>
                                              <w:marRight w:val="0"/>
                                              <w:marTop w:val="0"/>
                                              <w:marBottom w:val="0"/>
                                              <w:divBdr>
                                                <w:top w:val="none" w:sz="0" w:space="0" w:color="auto"/>
                                                <w:left w:val="none" w:sz="0" w:space="0" w:color="auto"/>
                                                <w:bottom w:val="none" w:sz="0" w:space="0" w:color="auto"/>
                                                <w:right w:val="none" w:sz="0" w:space="0" w:color="auto"/>
                                              </w:divBdr>
                                              <w:divsChild>
                                                <w:div w:id="489829091">
                                                  <w:marLeft w:val="0"/>
                                                  <w:marRight w:val="0"/>
                                                  <w:marTop w:val="0"/>
                                                  <w:marBottom w:val="0"/>
                                                  <w:divBdr>
                                                    <w:top w:val="none" w:sz="0" w:space="0" w:color="auto"/>
                                                    <w:left w:val="none" w:sz="0" w:space="0" w:color="auto"/>
                                                    <w:bottom w:val="none" w:sz="0" w:space="0" w:color="auto"/>
                                                    <w:right w:val="none" w:sz="0" w:space="0" w:color="auto"/>
                                                  </w:divBdr>
                                                </w:div>
                                                <w:div w:id="13121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683131">
      <w:bodyDiv w:val="1"/>
      <w:marLeft w:val="0"/>
      <w:marRight w:val="0"/>
      <w:marTop w:val="0"/>
      <w:marBottom w:val="0"/>
      <w:divBdr>
        <w:top w:val="none" w:sz="0" w:space="0" w:color="auto"/>
        <w:left w:val="none" w:sz="0" w:space="0" w:color="auto"/>
        <w:bottom w:val="none" w:sz="0" w:space="0" w:color="auto"/>
        <w:right w:val="none" w:sz="0" w:space="0" w:color="auto"/>
      </w:divBdr>
      <w:divsChild>
        <w:div w:id="169562689">
          <w:marLeft w:val="0"/>
          <w:marRight w:val="0"/>
          <w:marTop w:val="0"/>
          <w:marBottom w:val="0"/>
          <w:divBdr>
            <w:top w:val="none" w:sz="0" w:space="0" w:color="auto"/>
            <w:left w:val="none" w:sz="0" w:space="0" w:color="auto"/>
            <w:bottom w:val="none" w:sz="0" w:space="0" w:color="auto"/>
            <w:right w:val="none" w:sz="0" w:space="0" w:color="auto"/>
          </w:divBdr>
          <w:divsChild>
            <w:div w:id="1251357183">
              <w:marLeft w:val="0"/>
              <w:marRight w:val="0"/>
              <w:marTop w:val="0"/>
              <w:marBottom w:val="0"/>
              <w:divBdr>
                <w:top w:val="none" w:sz="0" w:space="0" w:color="auto"/>
                <w:left w:val="none" w:sz="0" w:space="0" w:color="auto"/>
                <w:bottom w:val="none" w:sz="0" w:space="0" w:color="auto"/>
                <w:right w:val="none" w:sz="0" w:space="0" w:color="auto"/>
              </w:divBdr>
              <w:divsChild>
                <w:div w:id="125659182">
                  <w:marLeft w:val="0"/>
                  <w:marRight w:val="0"/>
                  <w:marTop w:val="0"/>
                  <w:marBottom w:val="0"/>
                  <w:divBdr>
                    <w:top w:val="none" w:sz="0" w:space="0" w:color="auto"/>
                    <w:left w:val="none" w:sz="0" w:space="0" w:color="auto"/>
                    <w:bottom w:val="none" w:sz="0" w:space="0" w:color="auto"/>
                    <w:right w:val="none" w:sz="0" w:space="0" w:color="auto"/>
                  </w:divBdr>
                  <w:divsChild>
                    <w:div w:id="976305106">
                      <w:marLeft w:val="225"/>
                      <w:marRight w:val="0"/>
                      <w:marTop w:val="0"/>
                      <w:marBottom w:val="0"/>
                      <w:divBdr>
                        <w:top w:val="none" w:sz="0" w:space="0" w:color="auto"/>
                        <w:left w:val="none" w:sz="0" w:space="0" w:color="auto"/>
                        <w:bottom w:val="none" w:sz="0" w:space="0" w:color="auto"/>
                        <w:right w:val="none" w:sz="0" w:space="0" w:color="auto"/>
                      </w:divBdr>
                      <w:divsChild>
                        <w:div w:id="13006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6762">
      <w:bodyDiv w:val="1"/>
      <w:marLeft w:val="0"/>
      <w:marRight w:val="0"/>
      <w:marTop w:val="0"/>
      <w:marBottom w:val="0"/>
      <w:divBdr>
        <w:top w:val="none" w:sz="0" w:space="0" w:color="auto"/>
        <w:left w:val="none" w:sz="0" w:space="0" w:color="auto"/>
        <w:bottom w:val="none" w:sz="0" w:space="0" w:color="auto"/>
        <w:right w:val="none" w:sz="0" w:space="0" w:color="auto"/>
      </w:divBdr>
      <w:divsChild>
        <w:div w:id="128608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64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88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501184">
      <w:bodyDiv w:val="1"/>
      <w:marLeft w:val="0"/>
      <w:marRight w:val="0"/>
      <w:marTop w:val="0"/>
      <w:marBottom w:val="0"/>
      <w:divBdr>
        <w:top w:val="none" w:sz="0" w:space="0" w:color="auto"/>
        <w:left w:val="none" w:sz="0" w:space="0" w:color="auto"/>
        <w:bottom w:val="none" w:sz="0" w:space="0" w:color="auto"/>
        <w:right w:val="none" w:sz="0" w:space="0" w:color="auto"/>
      </w:divBdr>
      <w:divsChild>
        <w:div w:id="249047592">
          <w:marLeft w:val="0"/>
          <w:marRight w:val="1"/>
          <w:marTop w:val="0"/>
          <w:marBottom w:val="0"/>
          <w:divBdr>
            <w:top w:val="none" w:sz="0" w:space="0" w:color="auto"/>
            <w:left w:val="none" w:sz="0" w:space="0" w:color="auto"/>
            <w:bottom w:val="none" w:sz="0" w:space="0" w:color="auto"/>
            <w:right w:val="none" w:sz="0" w:space="0" w:color="auto"/>
          </w:divBdr>
          <w:divsChild>
            <w:div w:id="1037774441">
              <w:marLeft w:val="0"/>
              <w:marRight w:val="0"/>
              <w:marTop w:val="0"/>
              <w:marBottom w:val="0"/>
              <w:divBdr>
                <w:top w:val="none" w:sz="0" w:space="0" w:color="auto"/>
                <w:left w:val="none" w:sz="0" w:space="0" w:color="auto"/>
                <w:bottom w:val="none" w:sz="0" w:space="0" w:color="auto"/>
                <w:right w:val="none" w:sz="0" w:space="0" w:color="auto"/>
              </w:divBdr>
              <w:divsChild>
                <w:div w:id="1448739785">
                  <w:marLeft w:val="0"/>
                  <w:marRight w:val="0"/>
                  <w:marTop w:val="0"/>
                  <w:marBottom w:val="0"/>
                  <w:divBdr>
                    <w:top w:val="none" w:sz="0" w:space="0" w:color="auto"/>
                    <w:left w:val="none" w:sz="0" w:space="0" w:color="auto"/>
                    <w:bottom w:val="none" w:sz="0" w:space="0" w:color="auto"/>
                    <w:right w:val="none" w:sz="0" w:space="0" w:color="auto"/>
                  </w:divBdr>
                  <w:divsChild>
                    <w:div w:id="974794124">
                      <w:marLeft w:val="0"/>
                      <w:marRight w:val="0"/>
                      <w:marTop w:val="0"/>
                      <w:marBottom w:val="0"/>
                      <w:divBdr>
                        <w:top w:val="none" w:sz="0" w:space="0" w:color="auto"/>
                        <w:left w:val="none" w:sz="0" w:space="0" w:color="auto"/>
                        <w:bottom w:val="none" w:sz="0" w:space="0" w:color="auto"/>
                        <w:right w:val="none" w:sz="0" w:space="0" w:color="auto"/>
                      </w:divBdr>
                      <w:divsChild>
                        <w:div w:id="674723079">
                          <w:marLeft w:val="384"/>
                          <w:marRight w:val="384"/>
                          <w:marTop w:val="0"/>
                          <w:marBottom w:val="0"/>
                          <w:divBdr>
                            <w:top w:val="none" w:sz="0" w:space="0" w:color="auto"/>
                            <w:left w:val="none" w:sz="0" w:space="0" w:color="auto"/>
                            <w:bottom w:val="none" w:sz="0" w:space="0" w:color="auto"/>
                            <w:right w:val="none" w:sz="0" w:space="0" w:color="auto"/>
                          </w:divBdr>
                          <w:divsChild>
                            <w:div w:id="268855828">
                              <w:marLeft w:val="0"/>
                              <w:marRight w:val="0"/>
                              <w:marTop w:val="0"/>
                              <w:marBottom w:val="0"/>
                              <w:divBdr>
                                <w:top w:val="none" w:sz="0" w:space="0" w:color="auto"/>
                                <w:left w:val="none" w:sz="0" w:space="0" w:color="auto"/>
                                <w:bottom w:val="none" w:sz="0" w:space="0" w:color="auto"/>
                                <w:right w:val="none" w:sz="0" w:space="0" w:color="auto"/>
                              </w:divBdr>
                              <w:divsChild>
                                <w:div w:id="994918525">
                                  <w:marLeft w:val="0"/>
                                  <w:marRight w:val="0"/>
                                  <w:marTop w:val="0"/>
                                  <w:marBottom w:val="0"/>
                                  <w:divBdr>
                                    <w:top w:val="none" w:sz="0" w:space="0" w:color="auto"/>
                                    <w:left w:val="none" w:sz="0" w:space="0" w:color="auto"/>
                                    <w:bottom w:val="none" w:sz="0" w:space="0" w:color="auto"/>
                                    <w:right w:val="none" w:sz="0" w:space="0" w:color="auto"/>
                                  </w:divBdr>
                                  <w:divsChild>
                                    <w:div w:id="1581254675">
                                      <w:marLeft w:val="0"/>
                                      <w:marRight w:val="0"/>
                                      <w:marTop w:val="0"/>
                                      <w:marBottom w:val="0"/>
                                      <w:divBdr>
                                        <w:top w:val="none" w:sz="0" w:space="0" w:color="auto"/>
                                        <w:left w:val="none" w:sz="0" w:space="0" w:color="auto"/>
                                        <w:bottom w:val="none" w:sz="0" w:space="0" w:color="auto"/>
                                        <w:right w:val="none" w:sz="0" w:space="0" w:color="auto"/>
                                      </w:divBdr>
                                      <w:divsChild>
                                        <w:div w:id="1474564573">
                                          <w:marLeft w:val="0"/>
                                          <w:marRight w:val="0"/>
                                          <w:marTop w:val="0"/>
                                          <w:marBottom w:val="0"/>
                                          <w:divBdr>
                                            <w:top w:val="none" w:sz="0" w:space="0" w:color="auto"/>
                                            <w:left w:val="none" w:sz="0" w:space="0" w:color="auto"/>
                                            <w:bottom w:val="none" w:sz="0" w:space="0" w:color="auto"/>
                                            <w:right w:val="none" w:sz="0" w:space="0" w:color="auto"/>
                                          </w:divBdr>
                                          <w:divsChild>
                                            <w:div w:id="1326975726">
                                              <w:marLeft w:val="0"/>
                                              <w:marRight w:val="0"/>
                                              <w:marTop w:val="0"/>
                                              <w:marBottom w:val="0"/>
                                              <w:divBdr>
                                                <w:top w:val="none" w:sz="0" w:space="0" w:color="auto"/>
                                                <w:left w:val="none" w:sz="0" w:space="0" w:color="auto"/>
                                                <w:bottom w:val="none" w:sz="0" w:space="0" w:color="auto"/>
                                                <w:right w:val="none" w:sz="0" w:space="0" w:color="auto"/>
                                              </w:divBdr>
                                              <w:divsChild>
                                                <w:div w:id="2072538167">
                                                  <w:marLeft w:val="0"/>
                                                  <w:marRight w:val="0"/>
                                                  <w:marTop w:val="0"/>
                                                  <w:marBottom w:val="0"/>
                                                  <w:divBdr>
                                                    <w:top w:val="none" w:sz="0" w:space="0" w:color="auto"/>
                                                    <w:left w:val="none" w:sz="0" w:space="0" w:color="auto"/>
                                                    <w:bottom w:val="none" w:sz="0" w:space="0" w:color="auto"/>
                                                    <w:right w:val="none" w:sz="0" w:space="0" w:color="auto"/>
                                                  </w:divBdr>
                                                </w:div>
                                                <w:div w:id="291985440">
                                                  <w:marLeft w:val="0"/>
                                                  <w:marRight w:val="0"/>
                                                  <w:marTop w:val="0"/>
                                                  <w:marBottom w:val="0"/>
                                                  <w:divBdr>
                                                    <w:top w:val="none" w:sz="0" w:space="0" w:color="auto"/>
                                                    <w:left w:val="none" w:sz="0" w:space="0" w:color="auto"/>
                                                    <w:bottom w:val="none" w:sz="0" w:space="0" w:color="auto"/>
                                                    <w:right w:val="none" w:sz="0" w:space="0" w:color="auto"/>
                                                  </w:divBdr>
                                                </w:div>
                                                <w:div w:id="16485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347">
      <w:bodyDiv w:val="1"/>
      <w:marLeft w:val="0"/>
      <w:marRight w:val="0"/>
      <w:marTop w:val="0"/>
      <w:marBottom w:val="0"/>
      <w:divBdr>
        <w:top w:val="none" w:sz="0" w:space="0" w:color="auto"/>
        <w:left w:val="none" w:sz="0" w:space="0" w:color="auto"/>
        <w:bottom w:val="none" w:sz="0" w:space="0" w:color="auto"/>
        <w:right w:val="none" w:sz="0" w:space="0" w:color="auto"/>
      </w:divBdr>
    </w:div>
    <w:div w:id="205149068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43">
          <w:marLeft w:val="0"/>
          <w:marRight w:val="0"/>
          <w:marTop w:val="0"/>
          <w:marBottom w:val="0"/>
          <w:divBdr>
            <w:top w:val="none" w:sz="0" w:space="0" w:color="auto"/>
            <w:left w:val="none" w:sz="0" w:space="0" w:color="auto"/>
            <w:bottom w:val="none" w:sz="0" w:space="0" w:color="auto"/>
            <w:right w:val="none" w:sz="0" w:space="0" w:color="auto"/>
          </w:divBdr>
          <w:divsChild>
            <w:div w:id="784618782">
              <w:marLeft w:val="0"/>
              <w:marRight w:val="0"/>
              <w:marTop w:val="0"/>
              <w:marBottom w:val="0"/>
              <w:divBdr>
                <w:top w:val="none" w:sz="0" w:space="0" w:color="auto"/>
                <w:left w:val="none" w:sz="0" w:space="0" w:color="auto"/>
                <w:bottom w:val="none" w:sz="0" w:space="0" w:color="auto"/>
                <w:right w:val="none" w:sz="0" w:space="0" w:color="auto"/>
              </w:divBdr>
              <w:divsChild>
                <w:div w:id="539125742">
                  <w:marLeft w:val="0"/>
                  <w:marRight w:val="0"/>
                  <w:marTop w:val="0"/>
                  <w:marBottom w:val="0"/>
                  <w:divBdr>
                    <w:top w:val="none" w:sz="0" w:space="0" w:color="auto"/>
                    <w:left w:val="none" w:sz="0" w:space="0" w:color="auto"/>
                    <w:bottom w:val="none" w:sz="0" w:space="0" w:color="auto"/>
                    <w:right w:val="none" w:sz="0" w:space="0" w:color="auto"/>
                  </w:divBdr>
                  <w:divsChild>
                    <w:div w:id="434517178">
                      <w:marLeft w:val="0"/>
                      <w:marRight w:val="225"/>
                      <w:marTop w:val="0"/>
                      <w:marBottom w:val="0"/>
                      <w:divBdr>
                        <w:top w:val="none" w:sz="0" w:space="0" w:color="auto"/>
                        <w:left w:val="none" w:sz="0" w:space="0" w:color="auto"/>
                        <w:bottom w:val="none" w:sz="0" w:space="0" w:color="auto"/>
                        <w:right w:val="none" w:sz="0" w:space="0" w:color="auto"/>
                      </w:divBdr>
                    </w:div>
                    <w:div w:id="102649635">
                      <w:marLeft w:val="0"/>
                      <w:marRight w:val="225"/>
                      <w:marTop w:val="0"/>
                      <w:marBottom w:val="0"/>
                      <w:divBdr>
                        <w:top w:val="none" w:sz="0" w:space="0" w:color="auto"/>
                        <w:left w:val="none" w:sz="0" w:space="0" w:color="auto"/>
                        <w:bottom w:val="none" w:sz="0" w:space="0" w:color="auto"/>
                        <w:right w:val="none" w:sz="0" w:space="0" w:color="auto"/>
                      </w:divBdr>
                      <w:divsChild>
                        <w:div w:id="16388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Lymphatic_system"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d32ogoqmya1dw8.cloudfront.net/images/woburn/ashnormalmarrow.v2.gi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n.wikipedia.org/wiki/Myeloid" TargetMode="External"/><Relationship Id="rId17" Type="http://schemas.openxmlformats.org/officeDocument/2006/relationships/hyperlink" Target="https://www.google.com.eg/url?sa=i&amp;rct=j&amp;q=&amp;esrc=s&amp;source=images&amp;cd=&amp;ved=2ahUKEwiNnM7G-5LdAhUNaFAKHbKbCLwQjRx6BAgBEAU&amp;url=https://www.sciencedirect.com/science/article/pii/S0208521617304072&amp;psig=AOvVaw1_EhD5Fz3y-zw3B0UZFmJg&amp;ust=1535656163471398" TargetMode="External"/><Relationship Id="rId25" Type="http://schemas.openxmlformats.org/officeDocument/2006/relationships/hyperlink" Target="https://synapse.koreamed.org/ViewImage.php?Type=F&amp;aid=91417&amp;id=F1&amp;afn=3039_ALM_36_4_384&amp;fn=alm-36-384-g001_3039AL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www.google.com.eg/url?sa=i&amp;rct=j&amp;q=&amp;esrc=s&amp;source=images&amp;cd=&amp;ved=2ahUKEwjH89iL7YreAhUJjqQKHfi-DygQjRx6BAgBEAU&amp;url=http://annals.org/aim/fullarticle/746987/assessment-thiopurine-s-methyltransferase-activity-patients-prescribed-thiopurines-systematic-review&amp;psig=AOvVaw1f60OSyKmDHRnk9qK5y-gW&amp;ust=1539775411398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one_marrow" TargetMode="External"/><Relationship Id="rId24" Type="http://schemas.openxmlformats.org/officeDocument/2006/relationships/image" Target="media/image6.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google.com.eg/url?sa=i&amp;rct=j&amp;q=&amp;esrc=s&amp;source=images&amp;cd=&amp;ved=2ahUKEwjh17j1_o3dAhWJYlAKHe2gBF4QjRx6BAgBEAU&amp;url=https://www.healio.com/pediatrics/journals/pedann/2015-7-44-7/%7b9084e5b1-ffab-4f14-99a2-138b1ff4991c%7d/pediatric-acute-lymphoblastic-leukemia-from-diagnosis-to-prognosis&amp;psig=AOvVaw3EeZZqTXaNTKCu5o7eszaU&amp;ust=1535484293921982" TargetMode="External"/><Relationship Id="rId28" Type="http://schemas.openxmlformats.org/officeDocument/2006/relationships/image" Target="media/image8.jpeg"/><Relationship Id="rId36" Type="http://schemas.openxmlformats.org/officeDocument/2006/relationships/footer" Target="footer3.xml"/><Relationship Id="rId10" Type="http://schemas.openxmlformats.org/officeDocument/2006/relationships/hyperlink" Target="https://en.wikipedia.org/wiki/Hematopoietic_stem_cell" TargetMode="External"/><Relationship Id="rId19" Type="http://schemas.openxmlformats.org/officeDocument/2006/relationships/hyperlink" Target="https://www.google.com.eg/url?sa=i&amp;rct=j&amp;q=&amp;esrc=s&amp;source=images&amp;cd=&amp;cad=rja&amp;uact=8&amp;ved=2ahUKEwimu4GUh47dAhUFKFAKHfn9A3sQjRx6BAgBEAU&amp;url=https://pedclerk.bsd.uchicago.edu/page/acute-lymphoblastic-leukemia-all-0&amp;psig=AOvVaw0YdB6wKknnJ8Fn9BHRHIKV&amp;ust=153548753056365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Hematopoietic_stem_cell" TargetMode="External"/><Relationship Id="rId14" Type="http://schemas.openxmlformats.org/officeDocument/2006/relationships/hyperlink" Target="https://www.google.com.eg/url?sa=i&amp;rct=j&amp;q=&amp;esrc=s&amp;source=images&amp;cd=&amp;ved=2ahUKEwi1r8mWgercAhWBJlAKHb_aD6MQjRx6BAgBEAU&amp;url=https://en.wikipedia.org/wiki/Haematopoiesis&amp;psig=AOvVaw1Ht4n-y8a8QMJkGIOn7Nn0&amp;ust=1534248947147112" TargetMode="External"/><Relationship Id="rId22" Type="http://schemas.openxmlformats.org/officeDocument/2006/relationships/image" Target="media/image5.gif"/><Relationship Id="rId27" Type="http://schemas.openxmlformats.org/officeDocument/2006/relationships/hyperlink" Target="https://www.google.com.eg/url?sa=i&amp;rct=j&amp;q=&amp;esrc=s&amp;source=images&amp;cd=&amp;cad=rja&amp;uact=8&amp;ved=2ahUKEwiOvbzvqI3eAhWO-ioKHVY1DFsQjRx6BAgBEAU&amp;url=https://www.researchgate.net/figure/Structures-of-6-MP-and-thioguanine-in-comparison-to-adenine-and-guanine-Thiopurines-are_fig1_315845303&amp;psig=AOvVaw1PUXGmsEHeACDBZTvVGEox&amp;ust=1539860318154239" TargetMode="External"/><Relationship Id="rId30" Type="http://schemas.openxmlformats.org/officeDocument/2006/relationships/image" Target="media/image9.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496B-4052-449B-8947-1BE29D41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44</Pages>
  <Words>7373</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ORIGIAL TEK</dc:creator>
  <cp:lastModifiedBy>ORIGIAL TEK</cp:lastModifiedBy>
  <cp:revision>97</cp:revision>
  <cp:lastPrinted>2018-11-21T07:34:00Z</cp:lastPrinted>
  <dcterms:created xsi:type="dcterms:W3CDTF">2018-08-04T12:56:00Z</dcterms:created>
  <dcterms:modified xsi:type="dcterms:W3CDTF">2019-03-10T04:09:00Z</dcterms:modified>
</cp:coreProperties>
</file>